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bidi/>
        <w:jc w:val="center"/>
        <w:rPr>
          <w:rFonts w:ascii="Sakkal Majalla" w:cs="Sakkal Majalla" w:hAnsi="Sakkal Majalla"/>
          <w:color w:val="auto"/>
          <w:sz w:val="96"/>
          <w:szCs w:val="96"/>
          <w:rtl/>
        </w:rPr>
      </w:pPr>
      <w:r>
        <w:rPr>
          <w:rFonts w:ascii="Sakkal Majalla" w:cs="Sakkal Majalla" w:hAnsi="Sakkal Majalla"/>
          <w:noProof/>
          <w:color w:val="auto"/>
          <w:sz w:val="96"/>
          <w:szCs w:val="96"/>
          <w:rtl/>
        </w:rPr>
        <w:drawing>
          <wp:inline distL="0" distT="0" distB="0" distR="0">
            <wp:extent cx="2028825" cy="2028825"/>
            <wp:effectExtent l="0" t="0" r="0" b="0"/>
            <wp:docPr id="1026" name="صورة 1" descr="C:\Users\ALemanCenter\Desktop\moe_logo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28825" cy="2028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2"/>
        <w:bidi/>
        <w:jc w:val="center"/>
        <w:rPr>
          <w:rFonts w:ascii="Sakkal Majalla" w:cs="Sakkal Majalla" w:hAnsi="Sakkal Majalla"/>
          <w:color w:val="auto"/>
          <w:sz w:val="96"/>
          <w:szCs w:val="96"/>
          <w:rtl/>
        </w:rPr>
      </w:pPr>
      <w:r>
        <w:rPr>
          <w:rFonts w:ascii="Sakkal Majalla" w:cs="Sakkal Majalla" w:hAnsi="Sakkal Majalla"/>
          <w:color w:val="auto"/>
          <w:sz w:val="96"/>
          <w:szCs w:val="96"/>
          <w:rtl/>
        </w:rPr>
        <w:t>الخطة</w:t>
      </w:r>
      <w:r>
        <w:rPr>
          <w:rFonts w:ascii="Sakkal Majalla" w:cs="Sakkal Majalla" w:hAnsi="Sakkal Majalla"/>
          <w:color w:val="auto"/>
          <w:sz w:val="96"/>
          <w:szCs w:val="96"/>
        </w:rPr>
        <w:t xml:space="preserve"> </w:t>
      </w:r>
      <w:r>
        <w:rPr>
          <w:rFonts w:ascii="Sakkal Majalla" w:cs="Sakkal Majalla" w:hAnsi="Sakkal Majalla"/>
          <w:color w:val="auto"/>
          <w:sz w:val="96"/>
          <w:szCs w:val="96"/>
          <w:rtl/>
        </w:rPr>
        <w:t>الإرشادية</w:t>
      </w:r>
    </w:p>
    <w:p>
      <w:pPr>
        <w:pStyle w:val="style0"/>
        <w:bidi/>
        <w:jc w:val="center"/>
        <w:rPr>
          <w:rFonts w:ascii="Sakkal Majalla" w:cs="Sakkal Majalla" w:hAnsi="Sakkal Majalla" w:hint="cs"/>
          <w:sz w:val="96"/>
          <w:szCs w:val="96"/>
          <w:rtl/>
        </w:rPr>
      </w:pPr>
      <w:r>
        <w:rPr>
          <w:rFonts w:ascii="Sakkal Majalla" w:cs="Sakkal Majalla" w:hAnsi="Sakkal Majalla"/>
          <w:sz w:val="96"/>
          <w:szCs w:val="96"/>
          <w:rtl/>
        </w:rPr>
        <w:t>جميع ا</w:t>
      </w:r>
      <w:r>
        <w:rPr>
          <w:rFonts w:ascii="Sakkal Majalla" w:hAnsi="Sakkal Majalla" w:hint="cs"/>
          <w:sz w:val="96"/>
          <w:szCs w:val="96"/>
          <w:rtl/>
          <w:lang w:bidi="ar-DZ"/>
        </w:rPr>
        <w:t>لأنشطة</w:t>
      </w:r>
    </w:p>
    <w:p>
      <w:pPr>
        <w:pStyle w:val="style0"/>
        <w:bidi/>
        <w:rPr>
          <w:rFonts w:ascii="Sakkal Majalla" w:cs="Sakkal Majalla" w:hAnsi="Sakkal Majalla"/>
          <w:sz w:val="56"/>
          <w:szCs w:val="56"/>
          <w:rtl/>
        </w:rPr>
      </w:pPr>
      <w:r>
        <w:rPr>
          <w:rFonts w:ascii="Sakkal Majalla" w:cs="Sakkal Majalla" w:hAnsi="Sakkal Majalla" w:hint="cs"/>
          <w:sz w:val="56"/>
          <w:szCs w:val="56"/>
          <w:rtl/>
        </w:rPr>
        <w:t>المرشد التربوي :</w:t>
      </w:r>
      <w:r>
        <w:rPr>
          <w:rFonts w:ascii="Sakkal Majalla" w:cs="Sakkal Majalla" w:hAnsi="Sakkal Majalla" w:hint="cs"/>
          <w:sz w:val="56"/>
          <w:szCs w:val="56"/>
          <w:rtl/>
        </w:rPr>
        <w:t xml:space="preserve"> .................................</w:t>
      </w:r>
    </w:p>
    <w:p>
      <w:pPr>
        <w:pStyle w:val="style0"/>
        <w:bidi/>
        <w:jc w:val="center"/>
        <w:rPr>
          <w:rFonts w:hint="cs"/>
          <w:sz w:val="56"/>
          <w:szCs w:val="56"/>
          <w:rtl/>
        </w:rPr>
      </w:pPr>
    </w:p>
    <w:p>
      <w:pPr>
        <w:pStyle w:val="style2"/>
        <w:bidi/>
        <w:rPr>
          <w:rFonts w:ascii="Sakkal Majalla" w:cs="Sakkal Majalla" w:hAnsi="Sakkal Majalla"/>
          <w:sz w:val="32"/>
          <w:szCs w:val="32"/>
        </w:rPr>
      </w:pPr>
      <w:r>
        <w:rPr>
          <w:rFonts w:ascii="Sakkal Majalla" w:cs="Sakkal Majalla" w:hAnsi="Sakkal Majalla"/>
          <w:sz w:val="32"/>
          <w:szCs w:val="32"/>
          <w:rtl/>
        </w:rPr>
        <w:t>الخطة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الإرشادية</w:t>
      </w:r>
      <w:r>
        <w:rPr>
          <w:rFonts w:ascii="Sakkal Majalla" w:cs="Sakkal Majalla" w:hAnsi="Sakkal Majalla"/>
          <w:sz w:val="32"/>
          <w:szCs w:val="32"/>
        </w:rPr>
        <w:t xml:space="preserve">: </w:t>
      </w:r>
      <w:r>
        <w:rPr>
          <w:rFonts w:ascii="Sakkal Majalla" w:cs="Sakkal Majalla" w:hAnsi="Sakkal Majalla"/>
          <w:sz w:val="32"/>
          <w:szCs w:val="32"/>
          <w:rtl/>
        </w:rPr>
        <w:t>مخاطر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التدخين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والمخدرات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والمؤثرات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العقلية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30"/>
        <w:gridCol w:w="1278"/>
        <w:gridCol w:w="1530"/>
        <w:gridCol w:w="2070"/>
        <w:gridCol w:w="1242"/>
        <w:gridCol w:w="1530"/>
        <w:gridCol w:w="1530"/>
        <w:gridCol w:w="1530"/>
      </w:tblGrid>
      <w:tr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1278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الهدف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الإجرائية</w:t>
            </w:r>
          </w:p>
        </w:tc>
        <w:tc>
          <w:tcPr>
            <w:tcW w:w="207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242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الفئة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المستهدفة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الجهة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المنفذة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أدوات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التوعية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الصحية</w:t>
            </w:r>
          </w:p>
        </w:tc>
        <w:tc>
          <w:tcPr>
            <w:tcW w:w="1278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بمخاطر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التدخين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والمخدرات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وأثرها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السلبي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الصحة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الجسدية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والنفسية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والاجتماعية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تعريف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بمخاطر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المواد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المخدرة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العقل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والجسم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توضيح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العلاقة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التدخين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والأمراض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المزمنة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تدريب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رفض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الضغوط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الاجتماعية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تعزيز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القيم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الدينية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والأخلاقية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7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محاضرات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يقدمها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مختصون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الصحة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عمل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تفاعلية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مهارات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الرفض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إعداد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مجلات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حائط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ومنشورات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بث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رسائل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توعوية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عبر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الإذاعة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إشراك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لقاء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مفتوح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زيارة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ميدانية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لمراكز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علاج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الإدمان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إنتاج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عروض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فيديو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قصيرة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إعداد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42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مدار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الدراسي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لقاء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شهري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فعاليات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فصلية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).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المرشد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التربوي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وزارة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الصحة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معلمو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العلوم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والتربية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الإسلامية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استبانات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قبلية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وبعدية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ملاحظات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سلوكية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تقارير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إنجاز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الأنشطة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مشاركة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المناقشات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</w:tr>
    </w:tbl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</w:rPr>
      </w:pPr>
      <w:r>
        <w:rPr>
          <w:rFonts w:ascii="Sakkal Majalla" w:cs="Sakkal Majalla" w:hAnsi="Sakkal Majalla"/>
          <w:b/>
          <w:bCs/>
          <w:sz w:val="28"/>
          <w:szCs w:val="28"/>
        </w:rPr>
        <w:br/>
      </w:r>
    </w:p>
    <w:p>
      <w:pPr>
        <w:pStyle w:val="style2"/>
        <w:bidi/>
        <w:rPr>
          <w:rFonts w:ascii="Sakkal Majalla" w:cs="Sakkal Majalla" w:hAnsi="Sakkal Majalla"/>
          <w:sz w:val="32"/>
          <w:szCs w:val="32"/>
        </w:rPr>
      </w:pPr>
      <w:r>
        <w:rPr>
          <w:rFonts w:ascii="Sakkal Majalla" w:cs="Sakkal Majalla" w:hAnsi="Sakkal Majalla"/>
          <w:sz w:val="32"/>
          <w:szCs w:val="32"/>
          <w:rtl/>
        </w:rPr>
        <w:t>الخطة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الإرشادية</w:t>
      </w:r>
      <w:r>
        <w:rPr>
          <w:rFonts w:ascii="Sakkal Majalla" w:cs="Sakkal Majalla" w:hAnsi="Sakkal Majalla"/>
          <w:sz w:val="32"/>
          <w:szCs w:val="32"/>
        </w:rPr>
        <w:t xml:space="preserve">: </w:t>
      </w:r>
      <w:r>
        <w:rPr>
          <w:rFonts w:ascii="Sakkal Majalla" w:cs="Sakkal Majalla" w:hAnsi="Sakkal Majalla"/>
          <w:sz w:val="32"/>
          <w:szCs w:val="32"/>
          <w:rtl/>
        </w:rPr>
        <w:t>الحد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من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العنف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والتنمر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الإلكتروني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والتطرف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الفكري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الهدف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الإجرائية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الفئة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المستهدفة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الجهة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المنفذة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أدوات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التربية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السلوكية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تعزيز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ثقافة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والسلوك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الإيجابي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للحد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العنف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والتنمر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والتطرف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الفكري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رفع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وعي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بمخاطر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العنف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والتنمر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تدريبهم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مهارات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النزاعات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غرس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قيم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التسامح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والاحترام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تعزيز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الانتماء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كبيئة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آمنة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ندوات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التنمر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الإلكتروني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تدريبات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عملية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مهارات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التواصل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إطلاق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حملات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إعلامية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ملصقات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/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مسرحيات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).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جلسات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حوارية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المعلمين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لقاءات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توعوية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تشكيل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لجنة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طلابية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للسلوك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الإيجابي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فصل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دراسي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كامل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أسبوعية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لقاءات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فصلية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).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المعلمون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المرشد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التربوي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الإدارة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مؤسسات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المحلي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استبانات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تقيس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وعي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ملاحظات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سلوكية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تقارير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متابعة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أسبوعية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تفاعل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</w:tr>
    </w:tbl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  <w:rtl/>
        </w:rPr>
      </w:pPr>
      <w:r>
        <w:rPr>
          <w:rFonts w:ascii="Sakkal Majalla" w:cs="Sakkal Majalla" w:hAnsi="Sakkal Majalla"/>
          <w:b/>
          <w:bCs/>
          <w:sz w:val="28"/>
          <w:szCs w:val="28"/>
        </w:rPr>
        <w:br/>
      </w:r>
    </w:p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</w:rPr>
      </w:pPr>
    </w:p>
    <w:p>
      <w:pPr>
        <w:pStyle w:val="style2"/>
        <w:bidi/>
        <w:rPr>
          <w:rFonts w:ascii="Sakkal Majalla" w:cs="Sakkal Majalla" w:hAnsi="Sakkal Majalla"/>
          <w:sz w:val="32"/>
          <w:szCs w:val="32"/>
        </w:rPr>
      </w:pPr>
      <w:r>
        <w:rPr>
          <w:rFonts w:ascii="Sakkal Majalla" w:cs="Sakkal Majalla" w:hAnsi="Sakkal Majalla"/>
          <w:sz w:val="32"/>
          <w:szCs w:val="32"/>
          <w:rtl/>
        </w:rPr>
        <w:t>الخطة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الإرشادية</w:t>
      </w:r>
      <w:r>
        <w:rPr>
          <w:rFonts w:ascii="Sakkal Majalla" w:cs="Sakkal Majalla" w:hAnsi="Sakkal Majalla"/>
          <w:sz w:val="32"/>
          <w:szCs w:val="32"/>
        </w:rPr>
        <w:t xml:space="preserve">: </w:t>
      </w:r>
      <w:r>
        <w:rPr>
          <w:rFonts w:ascii="Sakkal Majalla" w:cs="Sakkal Majalla" w:hAnsi="Sakkal Majalla"/>
          <w:sz w:val="32"/>
          <w:szCs w:val="32"/>
          <w:rtl/>
        </w:rPr>
        <w:t>الدعم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النفسي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والاجتماعي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الهدف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الإجرائية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الفئة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المستهدفة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الجهة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المنفذة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أدوات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الدعم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النفسي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تقديم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الدعم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النفسي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والاجتماعي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بما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يحقق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التكيف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البيئة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وزيادة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التحصيل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الدراسي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تخفيف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القلق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والتوتر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لدى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مساعدة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التكيف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الضغوط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الدراسية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تعزيز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مهارات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التواصل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الإيجابي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دعم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ذوي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الظروف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الخاصة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جلسات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إرشاد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فردي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وجماعي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تفريغ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انفعالي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رسم،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رياضة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).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برامج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تدريبية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لتنمية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مهارات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المشكلات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لقاءات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دورية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تفعيل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ساخن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بريد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دعم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نفسي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إعداد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نشرات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إرشادية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الصحة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مدار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الدراسي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المرشد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التربوي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أخصائي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نفسي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الإدارة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مقاييس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نفسية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استبانات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رضا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تقارير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متابعة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فردية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تحسن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الأداء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الأكاديمي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</w:tr>
    </w:tbl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</w:rPr>
      </w:pPr>
      <w:r>
        <w:rPr>
          <w:rFonts w:ascii="Sakkal Majalla" w:cs="Sakkal Majalla" w:hAnsi="Sakkal Majalla"/>
          <w:b/>
          <w:bCs/>
          <w:sz w:val="28"/>
          <w:szCs w:val="28"/>
        </w:rPr>
        <w:br/>
      </w:r>
    </w:p>
    <w:p>
      <w:pPr>
        <w:pStyle w:val="style2"/>
        <w:bidi/>
        <w:rPr>
          <w:rFonts w:ascii="Sakkal Majalla" w:cs="Sakkal Majalla" w:hAnsi="Sakkal Majalla"/>
          <w:sz w:val="32"/>
          <w:szCs w:val="32"/>
        </w:rPr>
      </w:pPr>
      <w:r>
        <w:rPr>
          <w:rFonts w:ascii="Sakkal Majalla" w:cs="Sakkal Majalla" w:hAnsi="Sakkal Majalla"/>
          <w:sz w:val="32"/>
          <w:szCs w:val="32"/>
          <w:rtl/>
        </w:rPr>
        <w:t>الخطة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الإرشادية</w:t>
      </w:r>
      <w:r>
        <w:rPr>
          <w:rFonts w:ascii="Sakkal Majalla" w:cs="Sakkal Majalla" w:hAnsi="Sakkal Majalla"/>
          <w:sz w:val="32"/>
          <w:szCs w:val="32"/>
        </w:rPr>
        <w:t xml:space="preserve">: </w:t>
      </w:r>
      <w:r>
        <w:rPr>
          <w:rFonts w:ascii="Sakkal Majalla" w:cs="Sakkal Majalla" w:hAnsi="Sakkal Majalla"/>
          <w:sz w:val="32"/>
          <w:szCs w:val="32"/>
          <w:rtl/>
        </w:rPr>
        <w:t>التوعية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ببرنامج</w:t>
      </w:r>
      <w:r>
        <w:rPr>
          <w:rFonts w:ascii="Sakkal Majalla" w:cs="Sakkal Majalla" w:hAnsi="Sakkal Majalla"/>
          <w:sz w:val="32"/>
          <w:szCs w:val="32"/>
        </w:rPr>
        <w:t xml:space="preserve"> BTEC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الهدف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الإجرائية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الفئة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المستهدفة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الجهة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المنفذة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أدوات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التوجيه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المهني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تعريف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ببرنامج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BTEC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وأهميته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المستقبل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المهني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والأكاديمي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رفع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وعي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بالبرنامج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توضيح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مميزات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البرنامج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مقارنة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بالمسارات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الأخرى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إرشاد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لأهمية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دعم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أبنائهم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توجيه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المسار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المهني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المناسب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تعريفية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بالبرنامج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لقاءات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خريجين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وطلاب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ملتحقين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إعداد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نشرات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تعريفية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توزع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الأهالي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محاضرات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مشتركة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زيارات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ميدانية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لمؤسسات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تطبق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البرنامج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فصل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دراسي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كامل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المرشد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التربوي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وزارة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التربية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معلمو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المواد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المهنية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استبانات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تقيس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وعي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نسبة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المشاركة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الورش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تقارير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متابعة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رضا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</w:tr>
    </w:tbl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  <w:rtl/>
        </w:rPr>
      </w:pPr>
      <w:r>
        <w:rPr>
          <w:rFonts w:ascii="Sakkal Majalla" w:cs="Sakkal Majalla" w:hAnsi="Sakkal Majalla"/>
          <w:b/>
          <w:bCs/>
          <w:sz w:val="28"/>
          <w:szCs w:val="28"/>
        </w:rPr>
        <w:br/>
      </w:r>
    </w:p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</w:rPr>
      </w:pPr>
    </w:p>
    <w:p>
      <w:pPr>
        <w:pStyle w:val="style2"/>
        <w:bidi/>
        <w:rPr>
          <w:rFonts w:ascii="Sakkal Majalla" w:cs="Sakkal Majalla" w:hAnsi="Sakkal Majalla"/>
          <w:sz w:val="32"/>
          <w:szCs w:val="32"/>
        </w:rPr>
      </w:pPr>
      <w:r>
        <w:rPr>
          <w:rFonts w:ascii="Sakkal Majalla" w:cs="Sakkal Majalla" w:hAnsi="Sakkal Majalla"/>
          <w:sz w:val="32"/>
          <w:szCs w:val="32"/>
          <w:rtl/>
        </w:rPr>
        <w:t>الخطة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الإرشادية</w:t>
      </w:r>
      <w:r>
        <w:rPr>
          <w:rFonts w:ascii="Sakkal Majalla" w:cs="Sakkal Majalla" w:hAnsi="Sakkal Majalla"/>
          <w:sz w:val="32"/>
          <w:szCs w:val="32"/>
        </w:rPr>
        <w:t xml:space="preserve">: </w:t>
      </w:r>
      <w:r>
        <w:rPr>
          <w:rFonts w:ascii="Sakkal Majalla" w:cs="Sakkal Majalla" w:hAnsi="Sakkal Majalla"/>
          <w:sz w:val="32"/>
          <w:szCs w:val="32"/>
          <w:rtl/>
        </w:rPr>
        <w:t>التوعية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النمائية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لطلبة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المدارس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278"/>
        <w:gridCol w:w="1782"/>
        <w:gridCol w:w="1530"/>
        <w:gridCol w:w="1530"/>
        <w:gridCol w:w="1530"/>
        <w:gridCol w:w="1530"/>
      </w:tblGrid>
      <w:tr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الهدف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1278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الإجرائية</w:t>
            </w:r>
          </w:p>
        </w:tc>
        <w:tc>
          <w:tcPr>
            <w:tcW w:w="1782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الفئة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المستهدفة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الجهة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المنفذة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أدوات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التنمية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الشاملة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تعزيز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النمو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المتكامل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الجسدي،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العقلي،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الاجتماعي،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الانفعالي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8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بمراحل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النمو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المختلفة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مساعدتهم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فهم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التغيرات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المصاحبة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للمراهقة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تعزيز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السلوكيات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الصحية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والاجتماعية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تنمية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مهارات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التكيف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المتغيرات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82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جلسات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مراحل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النمو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عمل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التغيرات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الجسدية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والنفسية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رياضية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وفنية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تعزز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الثقة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بالنفس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لقاءات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احتياجات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أبنائهم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توزيع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كتيبات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تثقيفية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إدماج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موضوعات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النمو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حصص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العلوم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والتربية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الإسلامية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مدار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الدراسي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المرشد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التربوي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المعلمون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مختصون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بالصحة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ملاحظات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مباشرة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استبانات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وعي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تقارير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متابعة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مشاركة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الأنشطة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</w:tr>
    </w:tbl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</w:rPr>
      </w:pPr>
      <w:r>
        <w:rPr>
          <w:rFonts w:ascii="Sakkal Majalla" w:cs="Sakkal Majalla" w:hAnsi="Sakkal Majalla"/>
          <w:b/>
          <w:bCs/>
          <w:sz w:val="28"/>
          <w:szCs w:val="28"/>
        </w:rPr>
        <w:br/>
      </w:r>
    </w:p>
    <w:p>
      <w:pPr>
        <w:pStyle w:val="style2"/>
        <w:bidi/>
        <w:rPr>
          <w:rFonts w:ascii="Sakkal Majalla" w:cs="Sakkal Majalla" w:hAnsi="Sakkal Majalla"/>
          <w:sz w:val="32"/>
          <w:szCs w:val="32"/>
        </w:rPr>
      </w:pPr>
      <w:r>
        <w:rPr>
          <w:rFonts w:ascii="Sakkal Majalla" w:cs="Sakkal Majalla" w:hAnsi="Sakkal Majalla"/>
          <w:sz w:val="32"/>
          <w:szCs w:val="32"/>
          <w:rtl/>
        </w:rPr>
        <w:t>الخطة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الإرشادية</w:t>
      </w:r>
      <w:r>
        <w:rPr>
          <w:rFonts w:ascii="Sakkal Majalla" w:cs="Sakkal Majalla" w:hAnsi="Sakkal Majalla"/>
          <w:sz w:val="32"/>
          <w:szCs w:val="32"/>
        </w:rPr>
        <w:t xml:space="preserve">: </w:t>
      </w:r>
      <w:r>
        <w:rPr>
          <w:rFonts w:ascii="Sakkal Majalla" w:cs="Sakkal Majalla" w:hAnsi="Sakkal Majalla"/>
          <w:sz w:val="32"/>
          <w:szCs w:val="32"/>
          <w:rtl/>
        </w:rPr>
        <w:t>برنامج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معاً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نحو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بيئة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مدرسية</w:t>
      </w:r>
      <w:r>
        <w:rPr>
          <w:rFonts w:ascii="Sakkal Majalla" w:cs="Sakkal Majalla" w:hAnsi="Sakkal Majalla"/>
          <w:sz w:val="32"/>
          <w:szCs w:val="32"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</w:rPr>
        <w:t>آمنة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الهدف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الإجرائية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الإجراءات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/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الفئة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المستهدفة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الجهة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المنفذة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أدوات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تعزيز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بيئة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آمنة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خالية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العنف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والمخاطر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نشر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ثقافة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التسامح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والاحترام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الحد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السلوكيات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العدوانية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بحقوقهم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وواجباتهم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إشراك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المحلي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عمل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للسلوك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الإيجابي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جلسات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حوارية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والمعلمين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حملات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توعية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إذاعة،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ملصقات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).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تدريب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حل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النزاعات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سلمياً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لقاءات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دورية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تشكيل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لجان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طلابية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للأمن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والسلامة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فصل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دراسي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كامل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الأمور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المحلي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المرشد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التربوي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الإدارة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المحلي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استبانات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تقيس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الأمن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المدرسي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ملاحظات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سلوكية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تقارير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متابعة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br/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نسبة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مشاركة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المحلي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</w:rPr>
              <w:t>.</w:t>
            </w:r>
          </w:p>
        </w:tc>
      </w:tr>
    </w:tbl>
    <w:p>
      <w:pPr>
        <w:pStyle w:val="style0"/>
        <w:bidi/>
        <w:rPr>
          <w:rFonts w:ascii="Sakkal Majalla" w:cs="Sakkal Majalla" w:hAnsi="Sakkal Majalla"/>
          <w:b/>
          <w:bCs/>
          <w:sz w:val="28"/>
          <w:szCs w:val="28"/>
        </w:rPr>
      </w:pPr>
      <w:r>
        <w:rPr>
          <w:rFonts w:ascii="Sakkal Majalla" w:cs="Sakkal Majalla" w:hAnsi="Sakkal Majalla"/>
          <w:b/>
          <w:bCs/>
          <w:sz w:val="28"/>
          <w:szCs w:val="28"/>
        </w:rPr>
        <w:br/>
      </w:r>
    </w:p>
    <w:sectPr>
      <w:pgSz w:w="15840" w:h="12240" w:orient="landscape"/>
      <w:pgMar w:top="1440" w:right="1800" w:bottom="1440" w:left="180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"/>
    <w:panose1 w:val="02070409020002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宋体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宋体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宋体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宋体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宋体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宋体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宋体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宋体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宋体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宋体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صفحة Char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عنوان 1 Char"/>
    <w:basedOn w:val="style65"/>
    <w:next w:val="style4099"/>
    <w:link w:val="style1"/>
    <w:uiPriority w:val="9"/>
    <w:rPr>
      <w:rFonts w:ascii="Calibri" w:cs="Times New Roman" w:eastAsia="宋体" w:hAnsi="Calibri"/>
      <w:b/>
      <w:bCs/>
      <w:color w:val="365f91"/>
      <w:sz w:val="28"/>
      <w:szCs w:val="28"/>
    </w:rPr>
  </w:style>
  <w:style w:type="character" w:customStyle="1" w:styleId="style4100">
    <w:name w:val="عنوان 2 Char"/>
    <w:basedOn w:val="style65"/>
    <w:next w:val="style4100"/>
    <w:link w:val="style2"/>
    <w:uiPriority w:val="9"/>
    <w:rPr>
      <w:rFonts w:ascii="Calibri" w:cs="Times New Roman" w:eastAsia="宋体" w:hAnsi="Calibri"/>
      <w:b/>
      <w:bCs/>
      <w:color w:val="4f81bd"/>
      <w:sz w:val="26"/>
      <w:szCs w:val="26"/>
    </w:rPr>
  </w:style>
  <w:style w:type="character" w:customStyle="1" w:styleId="style4101">
    <w:name w:val="عنوان 3 Char"/>
    <w:basedOn w:val="style65"/>
    <w:next w:val="style4101"/>
    <w:link w:val="style3"/>
    <w:uiPriority w:val="9"/>
    <w:rPr>
      <w:rFonts w:ascii="Calibri" w:cs="Times New Roman" w:eastAsia="宋体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宋体" w:hAnsi="Calibri"/>
      <w:color w:val="17365d"/>
      <w:spacing w:val="5"/>
      <w:kern w:val="28"/>
      <w:sz w:val="52"/>
      <w:szCs w:val="52"/>
    </w:rPr>
  </w:style>
  <w:style w:type="character" w:customStyle="1" w:styleId="style4102">
    <w:name w:val="العنوان Char"/>
    <w:basedOn w:val="style65"/>
    <w:next w:val="style4102"/>
    <w:link w:val="style62"/>
    <w:uiPriority w:val="10"/>
    <w:rPr>
      <w:rFonts w:ascii="Calibri" w:cs="Times New Roman" w:eastAsia="宋体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宋体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عنوان فرعي Char"/>
    <w:basedOn w:val="style65"/>
    <w:next w:val="style4103"/>
    <w:link w:val="style74"/>
    <w:uiPriority w:val="11"/>
    <w:rPr>
      <w:rFonts w:ascii="Calibri" w:cs="Times New Roman" w:eastAsia="宋体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نص أساسي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نص أساسي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نص أساسي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نص ماكرو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عنوان 4 Char"/>
    <w:basedOn w:val="style65"/>
    <w:next w:val="style4109"/>
    <w:link w:val="style4"/>
    <w:uiPriority w:val="9"/>
    <w:rPr>
      <w:rFonts w:ascii="Calibri" w:cs="Times New Roman" w:eastAsia="宋体" w:hAnsi="Calibri"/>
      <w:b/>
      <w:bCs/>
      <w:i/>
      <w:iCs/>
      <w:color w:val="4f81bd"/>
    </w:rPr>
  </w:style>
  <w:style w:type="character" w:customStyle="1" w:styleId="style4110">
    <w:name w:val="عنوان 5 Char"/>
    <w:basedOn w:val="style65"/>
    <w:next w:val="style4110"/>
    <w:link w:val="style5"/>
    <w:uiPriority w:val="9"/>
    <w:rPr>
      <w:rFonts w:ascii="Calibri" w:cs="Times New Roman" w:eastAsia="宋体" w:hAnsi="Calibri"/>
      <w:color w:val="243f60"/>
    </w:rPr>
  </w:style>
  <w:style w:type="character" w:customStyle="1" w:styleId="style4111">
    <w:name w:val="عنوان 6 Char"/>
    <w:basedOn w:val="style65"/>
    <w:next w:val="style4111"/>
    <w:link w:val="style6"/>
    <w:uiPriority w:val="9"/>
    <w:rPr>
      <w:rFonts w:ascii="Calibri" w:cs="Times New Roman" w:eastAsia="宋体" w:hAnsi="Calibri"/>
      <w:i/>
      <w:iCs/>
      <w:color w:val="243f60"/>
    </w:rPr>
  </w:style>
  <w:style w:type="character" w:customStyle="1" w:styleId="style4112">
    <w:name w:val="عنوان 7 Char"/>
    <w:basedOn w:val="style65"/>
    <w:next w:val="style4112"/>
    <w:link w:val="style7"/>
    <w:uiPriority w:val="9"/>
    <w:rPr>
      <w:rFonts w:ascii="Calibri" w:cs="Times New Roman" w:eastAsia="宋体" w:hAnsi="Calibri"/>
      <w:i/>
      <w:iCs/>
      <w:color w:val="404040"/>
    </w:rPr>
  </w:style>
  <w:style w:type="character" w:customStyle="1" w:styleId="style4113">
    <w:name w:val="عنوان 8 Char"/>
    <w:basedOn w:val="style65"/>
    <w:next w:val="style4113"/>
    <w:link w:val="style8"/>
    <w:uiPriority w:val="9"/>
    <w:rPr>
      <w:rFonts w:ascii="Calibri" w:cs="Times New Roman" w:eastAsia="宋体" w:hAnsi="Calibri"/>
      <w:color w:val="4f81bd"/>
      <w:sz w:val="20"/>
      <w:szCs w:val="20"/>
    </w:rPr>
  </w:style>
  <w:style w:type="character" w:customStyle="1" w:styleId="style4114">
    <w:name w:val="عنوان 9 Char"/>
    <w:basedOn w:val="style65"/>
    <w:next w:val="style4114"/>
    <w:link w:val="style9"/>
    <w:uiPriority w:val="9"/>
    <w:rPr>
      <w:rFonts w:ascii="Calibri" w:cs="Times New Roman" w:eastAsia="宋体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اقتباس مكثف Char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宋体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宋体" w:hAnsi="Calibri"/>
        <w:b/>
        <w:bCs/>
      </w:rPr>
      <w:tcPr>
        <w:tcBorders/>
      </w:tcPr>
    </w:tblStylePr>
    <w:tblStylePr w:type="lastCol">
      <w:pPr/>
      <w:rPr>
        <w:rFonts w:ascii="Calibri" w:cs="Times New Roman" w:eastAsia="宋体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宋体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宋体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153">
    <w:name w:val="Balloon Text"/>
    <w:basedOn w:val="style0"/>
    <w:next w:val="style153"/>
    <w:link w:val="style4116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6">
    <w:name w:val="نص في بالون Char"/>
    <w:basedOn w:val="style65"/>
    <w:next w:val="style4116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4CE336-CAE1-4C3B-8276-8120E6D2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809</Words>
  <Pages>1</Pages>
  <Characters>4313</Characters>
  <Application>WPS Office</Application>
  <DocSecurity>0</DocSecurity>
  <Paragraphs>128</Paragraphs>
  <ScaleCrop>false</ScaleCrop>
  <LinksUpToDate>false</LinksUpToDate>
  <CharactersWithSpaces>5023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٢٠٢٥-٠٩-١٨T١١:١١:١٠Z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63127efc615e47839429dff3a8b8159f</vt:lpwstr>
  </property>
</Properties>
</file>