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ind w:left="-142" w:right="-1800"/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  <w:rtl/>
        </w:rPr>
        <w:t>خطة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rtl/>
        </w:rPr>
        <w:t>علاجية</w:t>
      </w:r>
      <w:r>
        <w:rPr>
          <w:rFonts w:ascii="Arial" w:cs="Arial" w:eastAsia="Arial" w:hAnsi="Arial"/>
          <w:b/>
          <w:color w:val="000000"/>
          <w:sz w:val="28"/>
          <w:szCs w:val="28"/>
          <w:rtl/>
        </w:rPr>
        <w:t xml:space="preserve"> </w:t>
      </w:r>
      <w:r>
        <w:rPr>
          <w:rFonts w:ascii="Arial" w:cs="Arial" w:eastAsia="Arial" w:hAnsi="Arial" w:hint="cs"/>
          <w:b/>
          <w:color w:val="000000"/>
          <w:sz w:val="28"/>
          <w:szCs w:val="28"/>
          <w:rtl/>
          <w:lang w:bidi="ar-DZ"/>
        </w:rPr>
        <w:t xml:space="preserve">لمادة العلوم </w:t>
      </w:r>
      <w:r>
        <w:rPr>
          <w:rFonts w:ascii="Arial" w:cs="Arial" w:eastAsia="Arial" w:hAnsi="Arial"/>
          <w:b/>
          <w:color w:val="000000"/>
          <w:sz w:val="28"/>
          <w:szCs w:val="28"/>
          <w:rtl/>
        </w:rPr>
        <w:t xml:space="preserve">للفصل </w:t>
      </w:r>
      <w:r>
        <w:rPr>
          <w:b/>
          <w:color w:val="000000"/>
          <w:sz w:val="28"/>
          <w:szCs w:val="28"/>
          <w:rtl/>
        </w:rPr>
        <w:t>الدراسي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rtl/>
        </w:rPr>
        <w:t>الأول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rFonts w:ascii="Arial" w:cs="Arial" w:eastAsia="Arial" w:hAnsi="Arial"/>
          <w:b/>
          <w:color w:val="000000"/>
          <w:sz w:val="28"/>
          <w:szCs w:val="28"/>
          <w:lang w:val="en-US"/>
        </w:rPr>
        <w:t>2025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/ </w:t>
      </w:r>
      <w:r>
        <w:rPr>
          <w:rFonts w:ascii="Arial" w:cs="Arial" w:eastAsia="Arial" w:hAnsi="Arial"/>
          <w:b/>
          <w:color w:val="000000"/>
          <w:sz w:val="28"/>
          <w:szCs w:val="28"/>
          <w:lang w:val="en-US"/>
        </w:rPr>
        <w:t>2026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</w:p>
    <w:tbl>
      <w:tblPr>
        <w:tblStyle w:val="style4102"/>
        <w:bidiVisual/>
        <w:tblW w:w="14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4"/>
        <w:gridCol w:w="4962"/>
        <w:gridCol w:w="1134"/>
        <w:gridCol w:w="992"/>
        <w:gridCol w:w="850"/>
        <w:gridCol w:w="567"/>
        <w:gridCol w:w="567"/>
        <w:gridCol w:w="567"/>
        <w:gridCol w:w="427"/>
      </w:tblGrid>
      <w:tr>
        <w:trPr>
          <w:cantSplit/>
          <w:trHeight w:val="400" w:hRule="atLeast"/>
          <w:tblHeader/>
          <w:jc w:val="center"/>
        </w:trPr>
        <w:tc>
          <w:tcPr>
            <w:tcW w:w="2268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مواطن الضعف</w:t>
            </w:r>
          </w:p>
        </w:tc>
        <w:tc>
          <w:tcPr>
            <w:tcW w:w="1984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أسباب الضعف</w:t>
            </w:r>
          </w:p>
        </w:tc>
        <w:tc>
          <w:tcPr>
            <w:tcW w:w="4962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134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إجراءات التقويم</w:t>
            </w:r>
          </w:p>
        </w:tc>
        <w:tc>
          <w:tcPr>
            <w:tcW w:w="992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850" w:type="dxa"/>
            <w:vMerge w:val="restart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2128" w:type="dxa"/>
            <w:gridSpan w:val="4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مدى التحسن</w:t>
            </w:r>
          </w:p>
        </w:tc>
      </w:tr>
      <w:tr>
        <w:tblPrEx/>
        <w:trPr>
          <w:cantSplit/>
          <w:trHeight w:val="855" w:hRule="atLeast"/>
          <w:tblHeader/>
          <w:jc w:val="center"/>
        </w:trPr>
        <w:tc>
          <w:tcPr>
            <w:tcW w:w="2268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/>
            <w:shd w:val="clear" w:color="auto" w:fill="c6d9f1"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ممتاز</w:t>
            </w:r>
          </w:p>
        </w:tc>
        <w:tc>
          <w:tcPr>
            <w:tcW w:w="567" w:type="dxa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جيد</w:t>
            </w:r>
          </w:p>
        </w:tc>
        <w:tc>
          <w:tcPr>
            <w:tcW w:w="567" w:type="dxa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بطيء</w:t>
            </w:r>
          </w:p>
        </w:tc>
        <w:tc>
          <w:tcPr>
            <w:tcW w:w="427" w:type="dxa"/>
            <w:tcBorders/>
            <w:shd w:val="clear" w:color="auto" w:fill="c6d9f1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 xml:space="preserve"> يحتاج</w:t>
            </w:r>
          </w:p>
        </w:tc>
      </w:tr>
      <w:tr>
        <w:tblPrEx/>
        <w:trPr>
          <w:cantSplit/>
          <w:trHeight w:val="480" w:hRule="atLeast"/>
          <w:tblHeader/>
          <w:jc w:val="center"/>
        </w:trPr>
        <w:tc>
          <w:tcPr>
            <w:tcW w:w="2268" w:type="dxa"/>
            <w:vMerge w:val="restar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 xml:space="preserve">*ضعف في مهارة تحليل الرسوم البيانية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/>
                <w:color w:val="000000"/>
                <w:sz w:val="28"/>
                <w:szCs w:val="28"/>
                <w:rtl/>
                <w:lang w:bidi="ar-EG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 w:hint="cs"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>*</w:t>
            </w:r>
            <w:r>
              <w:rPr>
                <w:rFonts w:ascii="Arial" w:cs="Times New Roman" w:hAnsi="Arial" w:hint="cs"/>
                <w:b/>
                <w:color w:val="000000"/>
                <w:sz w:val="28"/>
                <w:szCs w:val="28"/>
                <w:rtl/>
              </w:rPr>
              <w:t>ضعف</w:t>
            </w:r>
            <w:r>
              <w:rPr>
                <w:rFonts w:cs="Times New Roman" w:hint="cs"/>
                <w:b/>
                <w:color w:val="000000"/>
                <w:sz w:val="28"/>
                <w:szCs w:val="28"/>
                <w:rtl/>
              </w:rPr>
              <w:t xml:space="preserve"> في استخدام القوانين وتحويل الوحدات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Times New Roman" w:hint="cs"/>
                <w:b/>
                <w:color w:val="000000"/>
                <w:sz w:val="28"/>
                <w:szCs w:val="28"/>
                <w:rtl/>
              </w:rPr>
              <w:t xml:space="preserve">*ضعف في كتابة الصيغة الكيميائية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/>
                <w:color w:val="000000"/>
                <w:sz w:val="28"/>
                <w:szCs w:val="28"/>
                <w:rtl/>
                <w:lang w:bidi="ar-EG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 xml:space="preserve">*ضعف في </w:t>
            </w: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 xml:space="preserve">تعيين أجزاء على رسم معين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 w:hint="cs"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 xml:space="preserve">*وجود بعض الأخطاء </w:t>
            </w: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>المفاهيمية</w:t>
            </w: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rFonts w:ascii="Arial" w:cs="Arial" w:hAnsi="Arial" w:hint="cs"/>
                <w:b/>
                <w:color w:val="000000"/>
                <w:sz w:val="28"/>
                <w:szCs w:val="28"/>
                <w:lang w:bidi="ar-EG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cs="Times New Roman" w:hint="cs"/>
                <w:b/>
                <w:color w:val="000000"/>
                <w:sz w:val="28"/>
                <w:szCs w:val="28"/>
                <w:rtl/>
              </w:rPr>
              <w:t>ضعف في مادة الرياضيات</w:t>
            </w:r>
            <w:r>
              <w:rPr>
                <w:rFonts w:ascii="Arial" w:cs="Arial" w:hAnsi="Arial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 عدم المتابعة المستمرة للمادة المعروضة للطالبات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ascii="Arial" w:cs="Arial" w:hAnsi="Arial" w:hint="cs"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cs="Arial" w:hAnsi="Arial" w:hint="cs"/>
                <w:color w:val="000000"/>
                <w:sz w:val="28"/>
                <w:szCs w:val="28"/>
                <w:rtl/>
                <w:lang w:bidi="ar-EG"/>
              </w:rPr>
              <w:t>*عدم المتابعة من قبل الطالب أثناء فترة التعليم عن بعد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-170"/>
              <w:jc w:val="center"/>
              <w:rPr>
                <w:rFonts w:ascii="Arial" w:cs="Arial" w:hAnsi="Arial" w:hint="cs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4962" w:type="dxa"/>
            <w:vMerge w:val="restar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*تنفيذ أنشطة بسيطة تناسب قدرات الطالبة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rFonts w:cs="Times New Roman"/>
                <w:b/>
                <w:color w:val="000000"/>
                <w:sz w:val="28"/>
                <w:szCs w:val="28"/>
                <w:rtl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*التنويع في الأنشطة والأسئلة والتدرج في </w:t>
            </w:r>
            <w:r>
              <w:rPr>
                <w:b/>
                <w:color w:val="000000"/>
                <w:sz w:val="28"/>
                <w:szCs w:val="28"/>
                <w:rtl/>
              </w:rPr>
              <w:t>صعوبتها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*استخدام التعزيز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*متابعة حل الطالبات للأنشطة والواجبات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*التواصل بالطالبات الضعيفات ومناقشة المشاكل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التي </w:t>
            </w:r>
            <w:r>
              <w:rPr>
                <w:b/>
                <w:color w:val="000000"/>
                <w:sz w:val="28"/>
                <w:szCs w:val="28"/>
                <w:rtl/>
              </w:rPr>
              <w:t>يواجهنها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أثناء دراسة مادة العلوم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*محاولة تبسيط المحتوى بما يتلاءم مع مستوى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الطالبات لتثبيت المفاهيم بسهولة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*الاستعانة بالطالبات ال</w:t>
            </w:r>
            <w:r>
              <w:rPr>
                <w:b/>
                <w:color w:val="000000"/>
                <w:sz w:val="28"/>
                <w:szCs w:val="28"/>
                <w:rtl/>
              </w:rPr>
              <w:t>متميزات في مساعدة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rFonts w:ascii="Arial" w:cs="Arial" w:hAnsi="Arial" w:hint="cs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الطالبات الضعيفات من خلال التواصل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>معهن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 قصيرة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أوراق عمل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  <w:vMerge w:val="restar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معلمة المادة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الطالبات المتميزات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  <w:bookmarkStart w:id="1" w:name="_heading=h.30j0zll" w:colFirst="0" w:colLast="0"/>
          <w:bookmarkEnd w:id="1"/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600" w:hRule="atLeast"/>
          <w:tblHeader/>
          <w:jc w:val="center"/>
        </w:trPr>
        <w:tc>
          <w:tcPr>
            <w:tcW w:w="2268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خطة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rtl/>
        </w:rPr>
        <w:t>اثرائيه</w:t>
      </w:r>
      <w:r>
        <w:rPr>
          <w:b/>
          <w:color w:val="000000"/>
          <w:sz w:val="28"/>
          <w:szCs w:val="28"/>
          <w:rtl/>
        </w:rPr>
        <w:t xml:space="preserve"> </w:t>
      </w:r>
      <w:r>
        <w:rPr>
          <w:b/>
          <w:color w:val="000000"/>
          <w:sz w:val="28"/>
          <w:szCs w:val="28"/>
          <w:rtl/>
        </w:rPr>
        <w:t>للطالبات المميزات في مادة العلوم للفصل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rtl/>
        </w:rPr>
        <w:t>الدراسي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rtl/>
        </w:rPr>
        <w:t>الأول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2</w:t>
      </w:r>
      <w:r>
        <w:rPr>
          <w:rFonts w:ascii="Arial" w:cs="Arial" w:eastAsia="Arial" w:hAnsi="Arial"/>
          <w:b/>
          <w:color w:val="000000"/>
          <w:sz w:val="28"/>
          <w:szCs w:val="28"/>
          <w:lang w:val="en-US"/>
        </w:rPr>
        <w:t>025</w:t>
      </w:r>
      <w:r>
        <w:rPr>
          <w:rFonts w:ascii="Arial" w:cs="Arial" w:eastAsia="Arial" w:hAnsi="Arial"/>
          <w:b/>
          <w:color w:val="000000"/>
          <w:sz w:val="28"/>
          <w:szCs w:val="28"/>
        </w:rPr>
        <w:t xml:space="preserve"> / </w:t>
      </w:r>
      <w:r>
        <w:rPr>
          <w:rFonts w:ascii="Arial" w:cs="Arial" w:eastAsia="Arial" w:hAnsi="Arial"/>
          <w:b/>
          <w:color w:val="000000"/>
          <w:sz w:val="28"/>
          <w:szCs w:val="28"/>
          <w:lang w:val="en-US"/>
        </w:rPr>
        <w:t>2026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4944"/>
        </w:tabs>
        <w:spacing w:after="200" w:lineRule="auto" w:line="27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</w:p>
    <w:tbl>
      <w:tblPr>
        <w:tblStyle w:val="style4103"/>
        <w:bidiVisual/>
        <w:tblW w:w="131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6"/>
        <w:gridCol w:w="1314"/>
        <w:gridCol w:w="1636"/>
        <w:gridCol w:w="1636"/>
        <w:gridCol w:w="1637"/>
      </w:tblGrid>
      <w:tr>
        <w:trPr>
          <w:cantSplit/>
          <w:trHeight w:val="810" w:hRule="atLeast"/>
          <w:tblHeader/>
        </w:trPr>
        <w:tc>
          <w:tcPr>
            <w:tcW w:w="6886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مظاهر التفوق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الانشطه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rtl/>
              </w:rPr>
              <w:t>الاثرائيه</w:t>
            </w:r>
          </w:p>
        </w:tc>
        <w:tc>
          <w:tcPr>
            <w:tcW w:w="1636" w:type="dxa"/>
            <w:tcBorders/>
            <w:shd w:val="clear" w:color="auto" w:fill="b8cce4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636" w:type="dxa"/>
            <w:tcBorders/>
            <w:shd w:val="clear" w:color="auto" w:fill="b8cce4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637" w:type="dxa"/>
            <w:tcBorders/>
            <w:shd w:val="clear" w:color="auto" w:fill="b8cce4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ملاحظات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/>
          <w:trHeight w:val="4520" w:hRule="atLeast"/>
          <w:tblHeader/>
        </w:trPr>
        <w:tc>
          <w:tcPr>
            <w:tcW w:w="6886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right="14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8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rial" w:cs="Arial" w:eastAsia="Arial" w:hAnsi="Arial"/>
                <w:b/>
                <w:color w:val="000000"/>
                <w:sz w:val="28"/>
                <w:szCs w:val="28"/>
                <w:highlight w:val="white"/>
                <w:rtl/>
              </w:rPr>
              <w:t>قيام الطالبة بحل الأنشطة بشكل أسرع من غيرها وبإتقان</w:t>
            </w: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rial" w:cs="Arial" w:eastAsia="Arial" w:hAnsi="Arial"/>
                <w:b/>
                <w:color w:val="000000"/>
                <w:sz w:val="28"/>
                <w:szCs w:val="28"/>
                <w:highlight w:val="white"/>
                <w:rtl/>
              </w:rPr>
              <w:t xml:space="preserve">الإجابة عن أسئلة القدرات العليا بشكل أفضل من </w:t>
            </w:r>
            <w:r>
              <w:rPr>
                <w:rFonts w:ascii="Arial" w:cs="Arial" w:eastAsia="Arial" w:hAnsi="Arial"/>
                <w:b/>
                <w:color w:val="000000"/>
                <w:sz w:val="28"/>
                <w:szCs w:val="28"/>
                <w:highlight w:val="white"/>
                <w:rtl/>
              </w:rPr>
              <w:t>غيره</w:t>
            </w:r>
            <w:r>
              <w:rPr>
                <w:color w:val="000000"/>
                <w:sz w:val="28"/>
                <w:szCs w:val="28"/>
                <w:highlight w:val="white"/>
                <w:rtl/>
              </w:rPr>
              <w:t>ا</w:t>
            </w: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rial" w:cs="Arial" w:eastAsia="Arial" w:hAnsi="Arial"/>
                <w:b/>
                <w:color w:val="000000"/>
                <w:sz w:val="28"/>
                <w:szCs w:val="28"/>
                <w:highlight w:val="white"/>
                <w:rtl/>
              </w:rPr>
              <w:t>الوصول لحلول المشكلات التي تطرح من خلال الأنشطة .</w:t>
            </w: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after="28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Arial" w:cs="Arial" w:eastAsia="Arial" w:hAnsi="Arial"/>
                <w:b/>
                <w:color w:val="000000"/>
                <w:sz w:val="28"/>
                <w:szCs w:val="28"/>
                <w:highlight w:val="white"/>
                <w:rtl/>
              </w:rPr>
              <w:t>الاهتمام بتأدية أنشطة التقويم جميعها 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80"/>
              <w:ind w:left="360"/>
              <w:rPr>
                <w:rFonts w:ascii="Arial" w:cs="Arial" w:hAnsi="Arial" w:hint="cs"/>
                <w:color w:val="000000"/>
                <w:sz w:val="28"/>
                <w:szCs w:val="28"/>
                <w:highlight w:val="white"/>
                <w:lang w:bidi="ar-EG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 قصيرة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أوراق عمل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العاب الكترونية 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2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معلمة المادة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200"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sectPr>
      <w:pgSz w:w="16838" w:h="11906" w:orient="landscape"/>
      <w:pgMar w:top="1440" w:right="1812" w:bottom="144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">
    <w:altName w:val="Noto Sans"/>
    <w:panose1 w:val="020b0502040000020204"/>
    <w:charset w:val="00"/>
    <w:family w:val="swiss"/>
    <w:pitch w:val="variable"/>
    <w:sig w:usb0="E00082FF" w:usb1="400078FF" w:usb2="00000021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D36886A"/>
    <w:lvl w:ilvl="0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082CA2"/>
    <w:lvl w:ilvl="0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CF07620"/>
    <w:lvl w:ilvl="0">
      <w:start w:val="1"/>
      <w:numFmt w:val="bullet"/>
      <w:lvlText w:val=""/>
      <w:lvlJc w:val="left"/>
      <w:pPr>
        <w:ind w:left="190" w:hanging="360"/>
      </w:pPr>
      <w:rPr>
        <w:rFonts w:ascii="Symbol" w:cs="Calibri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9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4765D1E"/>
    <w:lvl w:ilvl="0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  <w:vertAlign w:val="baseline"/>
      </w:rPr>
    </w:lvl>
  </w:abstractNum>
  <w:abstractNum w:abstractNumId="5">
    <w:nsid w:val="00000005"/>
    <w:multiLevelType w:val="hybridMultilevel"/>
    <w:tmpl w:val="2D7E9BE4"/>
    <w:lvl w:ilvl="0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586A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>
        <w:bidi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8"/>
    <w:next w:val="style4098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8"/>
    <w:next w:val="style4098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8"/>
    <w:next w:val="style4098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8"/>
    <w:next w:val="style4098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8"/>
    <w:next w:val="style4098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8"/>
    <w:next w:val="style4098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8"/>
    <w:next w:val="style4098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/>
  </w:style>
  <w:style w:type="table" w:customStyle="1" w:styleId="style4099">
    <w:name w:val="Table Normal"/>
    <w:next w:val="style4099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11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4099"/>
    <w:next w:val="style4100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1">
    <w:basedOn w:val="style4099"/>
    <w:next w:val="style4101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2">
    <w:basedOn w:val="style4099"/>
    <w:next w:val="style4102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3">
    <w:basedOn w:val="style4099"/>
    <w:next w:val="style4103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nhy+PO4+sPocsM+NQgHcdC71A==">AMUW2mUMIZ4XBA8sflwAq8y5xTvR++/xPWKaf3DPJ3UZoY597NOqHpVSB1gC7T0SSTqa4CJqYctkZvzh4BGFDid54zN9Kdpneo1HtBsU2c56THb9BFiKET+hCks7xml7gXuyZH7uXZPG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203</Words>
  <Pages>2</Pages>
  <Characters>1106</Characters>
  <Application>WPS Office</Application>
  <DocSecurity>0</DocSecurity>
  <Paragraphs>194</Paragraphs>
  <ScaleCrop>false</ScaleCrop>
  <LinksUpToDate>false</LinksUpToDate>
  <CharactersWithSpaces>1285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٢٠٢٢-١١-١٢T١٩:٣١:٠٠Z</dcterms:created>
  <dc:creator>WPS Office</dc:creator>
  <lastModifiedBy>SM-S928B</lastModifiedBy>
  <dcterms:modified xsi:type="dcterms:W3CDTF">٢٠٢٥-٠٩-٠٦T٠١:٢٢:٣٥Z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ac707f51f0734562952bb3174673dda8</vt:lpwstr>
  </property>
</Properties>
</file>