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7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noProof/>
          <w:rtl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2830830</wp:posOffset>
            </wp:positionH>
            <wp:positionV relativeFrom="page">
              <wp:posOffset>547370</wp:posOffset>
            </wp:positionV>
            <wp:extent cx="1028700" cy="777240"/>
            <wp:effectExtent l="19050" t="0" r="0" b="0"/>
            <wp:wrapSquare wrapText="bothSides"/>
            <wp:docPr id="1026" name="image1.png" descr="Description: Description: http://www.moheet.com/image/67/225-300/67951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777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2804795</wp:posOffset>
                </wp:positionH>
                <wp:positionV relativeFrom="page">
                  <wp:posOffset>554330</wp:posOffset>
                </wp:positionV>
                <wp:extent cx="2779242" cy="1606337"/>
                <wp:effectExtent l="12700" t="12700" r="10160" b="10795"/>
                <wp:wrapNone/>
                <wp:docPr id="1027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9242" cy="16063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نهاية الفصل الدراسي الثاني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 لعام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7" arcsize="0.16666667," fillcolor="white" stroked="t" style="position:absolute;margin-left:220.85pt;margin-top:43.65pt;width:218.84pt;height:126.48pt;z-index:3;mso-position-horizontal-relative:page;mso-position-vertical-relative:page;mso-width-relative:page;mso-height-relative:page;mso-wrap-distance-left:0.0pt;mso-wrap-distance-right:0.0pt;visibility:visible;">
                <v:stroke weight="2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نهاية الفصل الدراسي الثاني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 xml:space="preserve"> لعام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52705</wp:posOffset>
                </wp:positionH>
                <wp:positionV relativeFrom="paragraph">
                  <wp:posOffset>118110</wp:posOffset>
                </wp:positionV>
                <wp:extent cx="1440180" cy="297179"/>
                <wp:effectExtent l="12700" t="12700" r="0" b="0"/>
                <wp:wrapNone/>
                <wp:docPr id="1028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80" cy="2971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حقل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اللغات والقانون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8" arcsize="0.16666667," fillcolor="white" stroked="t" style="position:absolute;margin-left:4.15pt;margin-top:9.3pt;width:113.4pt;height:23.4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حقل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اللغات والقانون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114300</wp:posOffset>
                </wp:positionV>
                <wp:extent cx="1566544" cy="300990"/>
                <wp:effectExtent l="12700" t="12700" r="0" b="3810"/>
                <wp:wrapNone/>
                <wp:docPr id="1029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ind w:left="-17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المبحث:اللغة العربيّة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المتقدم</w:t>
                            </w:r>
                          </w:p>
                          <w:p>
                            <w:pPr>
                              <w:pStyle w:val="style0"/>
                              <w:ind w:left="-17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9" arcsize="0.16666667," fillcolor="white" stroked="t" style="position:absolute;margin-left:417.25pt;margin-top:9.0pt;width:123.35pt;height:23.7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ind w:left="-170"/>
                        <w:jc w:val="center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المبحث:اللغة العربيّة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المتقدم</w:t>
                      </w:r>
                    </w:p>
                    <w:p>
                      <w:pPr>
                        <w:pStyle w:val="style0"/>
                        <w:ind w:left="-17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270" w:right="-1080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7620</wp:posOffset>
                </wp:positionH>
                <wp:positionV relativeFrom="paragraph">
                  <wp:posOffset>121920</wp:posOffset>
                </wp:positionV>
                <wp:extent cx="6858000" cy="0"/>
                <wp:effectExtent l="0" t="0" r="0" b="0"/>
                <wp:wrapTight wrapText="bothSides">
                  <wp:wrapPolygon edited="false">
                    <wp:start x="0" y="0"/>
                    <wp:lineTo x="0" y="0"/>
                    <wp:lineTo x="722" y="0"/>
                    <wp:lineTo x="722" y="0"/>
                    <wp:lineTo x="0" y="0"/>
                  </wp:wrapPolygon>
                </wp:wrapTight>
                <wp:docPr id="1030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58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0.6pt,9.6pt" to="540.6pt,9.6pt" style="position:absolute;z-index:2;mso-position-horizontal-relative:text;mso-position-vertical-relative:text;mso-width-percent:0;mso-height-percent:0;mso-width-relative:page;mso-height-relative:page;visibility:visible;flip:x;">
                <v:stroke weight="1.5pt"/>
                <w10:wrap type="tight"/>
                <v:fill/>
              </v:line>
            </w:pict>
          </mc:Fallback>
        </mc:AlternateContent>
      </w:r>
    </w:p>
    <w:p>
      <w:pPr>
        <w:pStyle w:val="style0"/>
        <w:ind w:right="-108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107950</wp:posOffset>
                </wp:positionV>
                <wp:extent cx="1566544" cy="338455"/>
                <wp:effectExtent l="12700" t="12700" r="0" b="4445"/>
                <wp:wrapNone/>
                <wp:docPr id="1032" name="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الفصل الدراسي: الثاني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2" arcsize="0.16666667," fillcolor="white" stroked="t" style="position:absolute;margin-left:417.25pt;margin-top:8.5pt;width:123.35pt;height:26.6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الفصل الدراسي: الثاني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6"/>
          <w:szCs w:val="6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اسم الطالبـ/ة: ...........................       الشعبة: (      )          اليوم والتّاريخ: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/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/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م</w:t>
      </w:r>
    </w:p>
    <w:p>
      <w:pPr>
        <w:pStyle w:val="style0"/>
        <w:numPr>
          <w:ilvl w:val="0"/>
          <w:numId w:val="1"/>
        </w:numPr>
        <w:ind w:left="0"/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 xml:space="preserve">ضعي دائرة حول رمز الإجابة الصّحيحة، ثم انقليه إلى ورقة الإجابة:     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highlight w:val="lightGray"/>
          <w:rtl/>
          <w:lang w:bidi="ar-JO"/>
        </w:rPr>
        <w:t>40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 xml:space="preserve"> علام</w:t>
      </w: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highlight w:val="lightGray"/>
          <w:rtl/>
          <w:lang w:bidi="ar-JO"/>
        </w:rPr>
        <w:t>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 xml:space="preserve">)  </w:t>
      </w: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8"/>
          <w:szCs w:val="8"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2"/>
          <w:szCs w:val="2"/>
          <w:lang w:bidi="ar-JO"/>
        </w:rPr>
      </w:pPr>
    </w:p>
    <w:tbl>
      <w:tblPr>
        <w:bidiVisual/>
        <w:tblW w:w="11110" w:type="dxa"/>
        <w:tblInd w:w="-516" w:type="dxa"/>
        <w:tblLook w:val="04A0" w:firstRow="1" w:lastRow="0" w:firstColumn="1" w:lastColumn="0" w:noHBand="0" w:noVBand="1"/>
      </w:tblPr>
      <w:tblGrid>
        <w:gridCol w:w="2494"/>
        <w:gridCol w:w="230"/>
        <w:gridCol w:w="2277"/>
        <w:gridCol w:w="210"/>
        <w:gridCol w:w="239"/>
        <w:gridCol w:w="2934"/>
        <w:gridCol w:w="52"/>
        <w:gridCol w:w="2637"/>
      </w:tblGrid>
      <w:tr>
        <w:trPr>
          <w:trHeight w:val="251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1- 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عبارات الآتية من آثار نزول القرآن الكريم على اللغة العربية وبلاغتها في عصر الفصاحة والبيان، ما عدا: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أصبح يحميهم ببيانه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أصبح مثالَ البلاغةِ الأوّل</w:t>
            </w:r>
          </w:p>
        </w:tc>
        <w:tc>
          <w:tcPr>
            <w:tcW w:w="5899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هَيْمنَ ببيانه المُعجز على لغة العرب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أخضعَ فصحاءَ العرب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2- غاية النقد المتمثّلة في قول امرئ القيس واصفًا حصانه:</w:t>
            </w:r>
          </w:p>
          <w:p>
            <w:pPr>
              <w:pStyle w:val="style0"/>
              <w:spacing w:lineRule="auto" w:line="276"/>
              <w:jc w:val="center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مِكَرٍّ مِفَرٍّ مُقبِلٍ مُدبِرٍ مَعًا          كَجُلمودِ صَخرٍ حَطَّهُ السَيلُ مِن عَلِ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التعبير عن المعنى بوضوح وتأثير وجمال في التركيب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الاحتكام إلى المعايير البلاغية في نقد الشّعر</w:t>
            </w:r>
          </w:p>
        </w:tc>
        <w:tc>
          <w:tcPr>
            <w:tcW w:w="5899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ب. الإتيان بالكلام موافقًا لحال المخاطَب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الإتيان بالكلام موافقًا لحال المتكلِّم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3- المصطلح الذي يُعرّف بأنّه تشبيهٌ حُذف منه المشبَّه أو المشبَّه به، على سبيل المجاز الذي علاقته المشابهة مع وجود قرينة تمنع من إرادة المعنى الأصلي:</w:t>
            </w:r>
          </w:p>
        </w:tc>
      </w:tr>
      <w:tr>
        <w:tblPrEx/>
        <w:trPr>
          <w:trHeight w:val="279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المجاز المرسل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الاستعارة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الحقيقة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الإطناب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4- في قول الشاعر: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أَسْتَوْدِعُ اللَهَ في بَغْدَادَ لِي قَمَرًا      بِالكَرْخِ مِنْ فَلَكِ الأَزْرَارِ مَطْلَعُهُ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استعارة مكنية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استعارة تصريحية</w:t>
            </w:r>
          </w:p>
        </w:tc>
        <w:tc>
          <w:tcPr>
            <w:tcW w:w="3435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مجاز مرسل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تشبيه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5- قامت تُظلّلني ومن عجبٍ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 xml:space="preserve"> شمسٌ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تُظلّلني من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>الشّمسِ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كلمة (الشّمس) الأولى و(الشّمس) الثانية على التّرتيب: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حقيقية/ حقيقية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حقيقية/ مجازية</w:t>
            </w:r>
          </w:p>
        </w:tc>
        <w:tc>
          <w:tcPr>
            <w:tcW w:w="3173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مجازية/ حقيقية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مجازية/ مجازية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6- علاقة المجاز المرسل في قول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الشّاعر: كم بعثنا الجيشَ جرّا     رًا وأرسلنا العيونا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الكلية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اعتبار ما كان</w:t>
            </w:r>
          </w:p>
        </w:tc>
        <w:tc>
          <w:tcPr>
            <w:tcW w:w="3173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الجزئية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7- علاقة المجاز المرسل في قوله تعالى: " فبشّرناهُ بغلامٍ حليم"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الكلية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اعتبار ما كان</w:t>
            </w:r>
          </w:p>
        </w:tc>
        <w:tc>
          <w:tcPr>
            <w:tcW w:w="3435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الجزئية 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8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</w:rPr>
              <w:t>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واحدة من الكلمات المخطوط تحتها استُعملت في معنًى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حقيقيّ: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دينارٌ تنفقه على أهلك أعظمُ أجرًا من دينارٍ تنفقه في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رقبة.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rtl/>
              </w:rPr>
              <w:t xml:space="preserve">فَلَم أَرَ قَبلي مَن مَشى البَحرُ نَحوَهُ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وَلا رَجُلاً قامَت تُعانِقُهُ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 الأُسدُ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"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> 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إِنَّكَ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مَيِّتٌ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وَإِنَّهُم مَّيِّتُونَ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rtl/>
              </w:rPr>
              <w:t xml:space="preserve">تَعَرَّضَ لي </w:t>
            </w:r>
            <w:r>
              <w:rPr>
                <w:rFonts w:ascii="Simplified Arabic" w:cs="Simplified Arabic" w:hAnsi="Simplified Arabic"/>
                <w:u w:val="single"/>
                <w:rtl/>
              </w:rPr>
              <w:t>السَحابُ</w:t>
            </w:r>
            <w:r>
              <w:rPr>
                <w:rFonts w:ascii="Simplified Arabic" w:cs="Simplified Arabic" w:hAnsi="Simplified Arabic"/>
                <w:rtl/>
              </w:rPr>
              <w:t xml:space="preserve"> وَقَد قَفَلنا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فَقُلتُ إِلَيكَ إِنَّ مَعي السَحابا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rtl/>
              </w:rPr>
              <w:t>9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الآية التي تمثّل أسلوب نهي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>
        <w:tblPrEx/>
        <w:trPr>
          <w:trHeight w:val="20" w:hRule="atLeast"/>
        </w:trPr>
        <w:tc>
          <w:tcPr>
            <w:tcW w:w="5038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يُحِبُّ اللَّهُ الْجَهْرَ بِالسُّوءِ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أَلَا إِنَّ أَوْلِيَاءَ اللَّهِ لَا خَوْفٌ عَلَيْهِمْ وَلَا هُمْ يَحْزَنُونَ"</w:t>
            </w:r>
          </w:p>
        </w:tc>
        <w:tc>
          <w:tcPr>
            <w:tcW w:w="6072" w:type="dxa"/>
            <w:gridSpan w:val="5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يُؤَاخِذُكُمُ اللَّهُ بِاللَّغْوِ فِي أَيْمَانِكُمْ وَلَٰكِن يُؤَاخِذُكُم بِمَا كَسَبَتْ قُلُوبُكُمْ"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يَا أَيُّهَا الَّذِينَ آمَنُوا لَا تَقُولُوا رَاعِنَا وَقُولُوا انظُرْنَا وَاسْمَعُوا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10-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المعنى الذي خرج إليه النّهي في قول الشّاعر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  <w:t xml:space="preserve">: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ولا تجلسْ إلى أهل الدّنايا     فإنّ خلائقَ السّفهاء تُعدي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الدّعاء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الالتماس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الزّجر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النّصح والإرشاد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11- النّهي الذي خرج إلى معنى التّهديد في الأبيات الآتية: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لا تَطْوِيا السّرّ عنّي يَومَ نائبةٍ         فإنّ ذلك ذَنْبٌ غيرُ مُغْتَفَرِ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لا تَطْمحنَّ إِلى المراتب قبلَ أنْ     تتكاملَ الأدواتُ والأسبابُ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أَبا هِندٍ فَلا تَعَجَل عَلَينا             وَأَنظِرنا نُخَبِّركَ </w: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page">
                        <wp:posOffset>317130</wp:posOffset>
                      </wp:positionH>
                      <wp:positionV relativeFrom="page">
                        <wp:posOffset>-8010858</wp:posOffset>
                      </wp:positionV>
                      <wp:extent cx="1440180" cy="330834"/>
                      <wp:effectExtent l="12700" t="12700" r="0" b="0"/>
                      <wp:wrapNone/>
                      <wp:docPr id="1031" name="103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440180" cy="33083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cmpd="sng" cap="flat" w="2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txbx id="1031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Arial" w:cs="Arial" w:hAnsi="Arial"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الصف:</w:t>
                                  </w:r>
                                  <w:r>
                                    <w:rPr>
                                      <w:rFonts w:ascii="Arial" w:cs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الثاني الثانوي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Arial" w:cs="Arial" w:hAnsi="Arial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Arial" w:cs="Arial" w:hAnsi="Arial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1" arcsize="0.16666667," fillcolor="white" stroked="t" style="position:absolute;margin-left:24.97pt;margin-top:-630.78pt;width:113.4pt;height:26.05pt;z-index:6;mso-position-horizontal-relative:page;mso-position-vertical-relative:page;mso-width-percent:0;mso-height-percent:0;mso-width-relative:page;mso-height-relative:page;mso-wrap-distance-left:0.0pt;mso-wrap-distance-right:0.0pt;visibility:visible;">
                      <v:stroke weight="1.7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الصف: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 الثانوي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اليَقينا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لا تنفري منّي و لا تغضبي          ولا تكوني في الهوى ظالمة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المعنى الذي خرج إليه النّداء في قول الشّاعر: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فوا عَجَبا كم يدّعي الفضْل ناقصٌ     ووا أسَفا كم يُظْهِرُ النّقصَ فاضل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الاستغاثة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التّحسُّر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النّدبة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الالتماس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الضّبط الصحيح للّام الأولى في لفظ الجلالة في قول الشاعر: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rtl/>
              </w:rPr>
              <w:t>فيا</w:t>
            </w:r>
            <w:r>
              <w:rPr>
                <w:rFonts w:ascii="Simplified Arabic" w:cs="Simplified Arabic" w:hAnsi="Simplified Arabic"/>
                <w:u w:val="single"/>
                <w:rtl/>
              </w:rPr>
              <w:t xml:space="preserve"> لله </w:t>
            </w:r>
            <w:r>
              <w:rPr>
                <w:rFonts w:ascii="Simplified Arabic" w:cs="Simplified Arabic" w:hAnsi="Simplified Arabic"/>
                <w:rtl/>
              </w:rPr>
              <w:t xml:space="preserve">كم سرَّتْ قلوباً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ويا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لله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كم أبكتْ عيونا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السكون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الفتحة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الضّمّة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الكسرة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الآية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التي أفاد فيها الإطناب تحقيق عنصر التّشويق في نفس المتلقي:</w:t>
            </w:r>
          </w:p>
        </w:tc>
      </w:tr>
      <w:tr>
        <w:tblPrEx/>
        <w:trPr>
          <w:trHeight w:val="20" w:hRule="atLeast"/>
        </w:trPr>
        <w:tc>
          <w:tcPr>
            <w:tcW w:w="5450" w:type="dxa"/>
            <w:gridSpan w:val="5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" أَن تَقُولَ نَفْسٌ يَا حَسْرَتَا عَلَىٰ مَا فَرَّطتُ فِي جَنبِ اللَّهِ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" حافظوا على الصلوات والصلاة الوسطى"</w:t>
            </w:r>
          </w:p>
        </w:tc>
        <w:tc>
          <w:tcPr>
            <w:tcW w:w="5660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" وَاتَّقُوا الَّذِي أَمَدَّكُم بِمَا تَعْلَمُونَ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 xml:space="preserve"> (132) </w:t>
            </w:r>
            <w:r>
              <w:rPr/>
              <w:fldChar w:fldCharType="begin"/>
            </w:r>
            <w:r>
              <w:instrText xml:space="preserve"> HYPERLINK "http://quran.ksu.edu.sa/tafseer/katheer/sura26-aya133.html" </w:instrText>
            </w:r>
            <w:r>
              <w:rPr/>
              <w:fldChar w:fldCharType="separate"/>
            </w:r>
            <w:r>
              <w:rPr>
                <w:rStyle w:val="style85"/>
                <w:rFonts w:ascii="Simplified Arabic" w:cs="Simplified Arabic" w:hAnsi="Simplified Arabic"/>
                <w:color w:val="auto"/>
                <w:sz w:val="26"/>
                <w:szCs w:val="26"/>
                <w:u w:val="none"/>
                <w:rtl/>
              </w:rPr>
              <w:t>أَمَدَّكُم بِأَنْعَامٍ وَبَنِينَ</w:t>
            </w:r>
            <w:r>
              <w:rPr/>
              <w:fldChar w:fldCharType="end"/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" كلّا سيعلمون (4) ثمَّ كلّا سيعلمون"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15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نوع الإطناب في قوله تعالى: " يَوْمَ يَقُومُ الرُّوحُ وَالْمَلَائِكَةُ صَفًّا ۖ لَّا يَتَكَلَّمُونَ إِلَّا مَنْ أَذِنَ لَهُ الرَّحْمَٰنُ وَقَالَ صَوَابًا"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الإيضاح بعد الإبهام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ذكر العام بعد الخاص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ذكر الخاص بعد العام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التّكرار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6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الفعل (اعشوشب) مزيد بـ: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الهمزة والواو والتّضعيف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الألف والواو والتّضعيف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الهمزة والواو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الألف والواو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7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الفعل المزيد بحرفين من الأفعال المخطوط تحته في الجمل الآتية: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لا تسترقِ السّمعَ.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استقِم كما أمركَ الله.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استحقَّ المجتهدُ التّكريم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لا تستعِنْ إلّا بالله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8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(أعصرَ) في جملة: لمّا أعصرَ العاملُ عاد إلى منزله مرهقًا.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الدّخول في الزّمان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الدّخول في المكان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التّعدية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الصّيرورة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19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(تزايد) في جملة: يتزايدُ اهتمامُ النّاس بتطبيقات الذّكاء الاصطناعيّ.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0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الجملة التي جاء المعنى المستفاد من الزّيادة في الفعل المخطوط تحته (التّكلُّف):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تحمّلتُ حتى أصِل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تشاجرَ الصّبيَةُ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تفهّمتُ الوضعَ.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توافدَ المدعوون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(اقتسم) في جملة: اقتسمَ الإخوةُ تركةَ والِدهم.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الفعلين المخطوط تحتهما على التّرتيب في جملة: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(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جمّعتُ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نقودي لأتصدقَ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فانجمعَ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لديّ عشر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  <w:lang w:bidi="ar-JO"/>
              </w:rPr>
              <w:t>و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 دينارًا)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المشاركة/ المبالغة والتّكثير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المشاركة/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المبالغة والتّكثير/ المطاوعة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المبالغة والتّكثير/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23- الجملة التي أفاد فيها التّصغير معنى التّحبُّب: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شاهدتُ دُبَيْبًا في الغابة.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ابنُكَ عُمَيْر له مستقبلٌ واعدٌ 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لا أقرأُ لذاك الكُوَيْتب.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هذا الكُتَيِّبُ مفيدلإ جدًا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24- تصغير كلمة (نفْس):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نُـــفَـــــيِّـــــس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نُـــفَـــــيْـــــس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نُــــفَـــــيِّـــــسة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نُــــفَــــيْــــسة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25- تصغير كلمة (ناب):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نُــوَيْب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نُــيَـــيْــــب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نُــيَـــيْــــبة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نُــيَـــيِّــــب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26- تصغير كلمة (سَؤُول):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سُـــؤَيِّــــل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سُـــؤَيْـــــوِل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سُـــؤَيِّـــــوِل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سُـــؤَيْـــــوِيــل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27- مكبَّر كلمة (مُــخَــيْريْـــــــط):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مَخرط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مَخارِط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خرّاط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مَخروط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28- تصغير الاسم (دار الأرقم):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716"/>
              <w:gridCol w:w="2715"/>
              <w:gridCol w:w="2714"/>
            </w:tblGrid>
            <w:tr>
              <w:trPr>
                <w:trHeight w:val="20" w:hRule="atLeast"/>
              </w:trPr>
              <w:tc>
                <w:tcPr>
                  <w:tcW w:w="2724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أ. دُوَيْــــــر الأُرَيْـــــقم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ب. دُوَيـْـــــرة الأُرَيْـــــقم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ج. دُوَيـْـــــرة الأرقم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د.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دُيَيـْـــرة الأرقم</w:t>
                  </w:r>
                </w:p>
              </w:tc>
            </w:tr>
          </w:tbl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29-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الإبدال الحاصل في كلمة متزِّن هو: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أ- إبدال الواو تاءً، ثم إدغام التاّء بتاء الافتعال.               ب- إبدال الطاء تاءً، ثم إدغام التاء بتاء الافتعال.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ج- إدغام التاء بتاء الافتعال فقط.                                د- إبدال الزاي تاءً، ثم إدغام التاء بتاء الافتعال.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30-النسب إلى كلمة" قُريظة" هو: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أ)قُرَظيّ                           ب)قُرَيْظيّ                                 ج)قَرْظيّ                                      د)قرظاويّ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31-النسب الصحيح إلى كلمة (دُئل)  هو: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أ)دُؤَليّ                                    ب)دُئِليّ                            ج)دُؤاليّ                         د)دُؤَيْليّ</w:t>
            </w:r>
          </w:p>
          <w:p>
            <w:pPr>
              <w:pStyle w:val="style0"/>
              <w:ind w:left="-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-جميع الكلمات الآتية تبدل فيها التاء طاءً عند إجرائها على وزن( مفتعل) ما عدا  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أ)صبغ                               ب)ضلع                                ج)قصد                     د)طرح</w:t>
            </w:r>
          </w:p>
          <w:p>
            <w:pPr>
              <w:pStyle w:val="style0"/>
              <w:ind w:left="-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33-يحدث إبدال عند إجراء جميع الجذور الآتية على وزن (افتعال )ما عدا :</w:t>
            </w:r>
          </w:p>
          <w:p>
            <w:pPr>
              <w:pStyle w:val="style0"/>
              <w:spacing w:after="200" w:lineRule="auto" w:line="276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أ)عَوِر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ب)زَرِي                                   ج)وعظ                         د)زَهَر </w:t>
            </w:r>
          </w:p>
          <w:p>
            <w:pPr>
              <w:pStyle w:val="style0"/>
              <w:ind w:left="35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34-الكلمة التي وقع فيها إعلال بالقلب :</w:t>
            </w:r>
          </w:p>
          <w:p>
            <w:pPr>
              <w:pStyle w:val="style0"/>
              <w:spacing w:after="200" w:lineRule="auto" w:line="276"/>
              <w:ind w:left="71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أ)صحراء                     ب)خبراء                                                    ج)حسناء                                د)مشّاء 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35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_أراد جرير بقوله(أرعى النجوم و قد مضت غورية     عُصب النجوم كأنهن صوار )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أ)وصف قطيع بقر الوحش   ب)الدلالة على طول السهر    ج)وصف النجوم وتشبيه حاله بحالها  د) الدلالة على طول بكائه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36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-تعد تربية الذوق العام في المجتمع وتعميق الخبرات النقدية بين أفراده من: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أ)عناصر العمل الأدبي       ب)تأثير العاطفة في النص الأدبي        ج)قضايا النقد الأدبي           د)غايات النقد الأدبي 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37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-من المناهج النقدية الداخلية 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أ)المنهج الاجتماعي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ب)المنهج التاريخي                          ج)المنهج النفسي                       د)المنهج البنيوي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38-المذهب الذي تمثل مبادئه ثلاثية نجيب محفوظ هو المذهب: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أ)الرومانسي                                    ب)الرمزي                                            ج)الكلاسيكي                              د)الواقعي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39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-الشاعر الذي نظم معارضة لهمزية البوصيري هو: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أ)أحمد شوقي     ب)حافظ ابراهيم    ج)محمد مهدي الجواهري    د)محمود سامي البارودي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40-المصطلح الذي يدل علىالتقنية التي تقوم على تداخل النصوص ،إذ يدمج الأديب جزءا من نص آخر أو إشارة إلى ذلك النص 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في عمله الأدبي , هو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:        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أ)  المعارضة               ب)  التناص                      ج)المفارقة             د)تحليل النصوص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41-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الشاعر الذي كان يحضر المجالس الأدبية في بلاط المؤسس عبدالله الأول ابن الحسين طيب الله ثراه، من الشعراء الآتية أسماؤهم ،هو: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أ)حيدر محمود                       ب)محمود درويش                  ج)عبد المنعم الرفاعي                   د)ابراهيم طوقان  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الكلمة المناسبة ليستقيم المعنى والوزن العروضي في البيت: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      لمّا حَطَطْتُ الرَّحْلَ (........) وارِدا         علَفتُها تِبْنًا وماءً بارِدا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عنها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الثّقيل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طُولَ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وَجئتُ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43-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تفعيلات البيت الآتي: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عادتْ لنا الأعيادُ والمواسِمُ       وَصَحّتِ العَلْياءُ والمَكارِمُ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مُتَفْعِلُن / مُسْتَفْعِلُن/ مُتَفْعِلُن           مُتَفْعِلُن / مُسْتَفْعِلُن/ مُتَفْعِلُن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مُسْتَــعِلُن / مُسْتَفْعِلُن/ مُتَعِلُن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مُسْتَــعِلُن / مُسْتَفْعِلُن/ مُتَعِلُن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مُسْتَفْعِلُن / مُسْتَفْعِلُن/ مُسْتَفْعِلُن        مُسْتَفْعِلُن / مُسْتَفْعِلُن/ مُسْتَفْعِلُن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مُسْتَفْعِلُن / مُسْتَفْعِلُن/ مُتَفْعِلُن           مُتَفْعِلُن / مُسْتَفْعِلُن/ مُتَفْعِلُن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44-يفصل صدر البيت عن عجزه في البيت الآتي( ماذا وُقوفي على ربْع عَفا مُخْلَوْلَقٍ دارسٍ مُسْتعْجمِ) كما في واحد مما يأتي: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أ)ماذا وقوفي على ربع عفا    مخلولق دارس مستعجم           ب) ماذا وقوفي على ربْــــــ     عٍ عفا مخلولق دارس مستعجم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ج)ماذا وقوفي على ربع عــــ     فا مخلولق دارس مستعجم       د) ماذا وقوفي على ربع عفا مخْــ     ـــــلولق دارس مستعجم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45-البحر العروضي للبيت الآتي( أضحى التنائي بديلا من تدانينا      وناب عن طيب لقيانا تجافينا)   هو:</w:t>
            </w:r>
          </w:p>
          <w:p>
            <w:pPr>
              <w:pStyle w:val="style0"/>
              <w:spacing w:lineRule="auto" w:line="276"/>
              <w:ind w:left="675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أ)االبسيط التام        ب) مجزوء البسيط            </w:t>
            </w:r>
            <w:r>
              <w:rPr>
                <w:rFonts w:ascii="Simplified Arabic" w:cs="Simplified Arabic" w:hAnsi="Simplified Arabic" w:hint="cs"/>
                <w:vanish/>
                <w:sz w:val="26"/>
                <w:szCs w:val="26"/>
                <w:rtl/>
              </w:rPr>
              <w:t xml:space="preserve"> ابسيط المجزوء       ج)الرجز التام    د)مجزوء الرجز   لولق دارس مستعجما مخلولق دارس مستعجم </w:t>
            </w:r>
            <w:r>
              <w:rPr>
                <w:rFonts w:ascii="Simplified Arabic" w:cs="Simplified Arabic" w:hAnsi="Simplified Arabic" w:hint="cs"/>
                <w:vanish/>
                <w:sz w:val="26"/>
                <w:szCs w:val="26"/>
                <w:rtl/>
              </w:rPr>
              <w:cr/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ج)الرجز التام    د)مجزوء الرجز   </w:t>
            </w:r>
          </w:p>
        </w:tc>
      </w:tr>
    </w:tbl>
    <w:p>
      <w:pPr>
        <w:pStyle w:val="style0"/>
        <w:pBdr>
          <w:bottom w:val="dotted" w:sz="24" w:space="1" w:color="auto"/>
        </w:pBdr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</w:p>
    <w:sectPr>
      <w:footerReference w:type="even" r:id="rId3"/>
      <w:footerReference w:type="default" r:id="rId4"/>
      <w:type w:val="continuous"/>
      <w:pgSz w:w="11906" w:h="16838" w:orient="portrait"/>
      <w:pgMar w:top="900" w:right="1196" w:bottom="630" w:left="540" w:header="720" w:footer="264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F" w:usb1="1200FFEF" w:usb2="0064C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rtl/>
      </w:rPr>
      <w:t>1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601CAB7E">
      <w:start w:val="1"/>
      <w:numFmt w:val="arabicAlpha"/>
      <w:lvlText w:val="%1)"/>
      <w:lvlJc w:val="left"/>
      <w:pPr>
        <w:ind w:left="4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1">
    <w:nsid w:val="00000001"/>
    <w:multiLevelType w:val="hybridMultilevel"/>
    <w:tmpl w:val="FFFFFFFF"/>
    <w:lvl w:ilvl="0" w:tplc="87A0A104">
      <w:start w:val="1"/>
      <w:numFmt w:val="bullet"/>
      <w:lvlText w:val="●"/>
      <w:lvlJc w:val="left"/>
      <w:pPr>
        <w:ind w:left="241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1" w:tplc="C8FE707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2" w:tplc="4ACCC5B2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3" w:tplc="DADE28CC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4" w:tplc="6BFE5FAA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5" w:tplc="65AA82E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6" w:tplc="A3907C1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7" w:tplc="1194A054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8" w:tplc="3A6490A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</w:abstractNum>
  <w:abstractNum w:abstractNumId="2">
    <w:nsid w:val="00000002"/>
    <w:multiLevelType w:val="hybridMultilevel"/>
    <w:tmpl w:val="FFFFFFFF"/>
    <w:lvl w:ilvl="0" w:tplc="8780B9DA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3">
    <w:nsid w:val="00000003"/>
    <w:multiLevelType w:val="hybridMultilevel"/>
    <w:tmpl w:val="E4B0D730"/>
    <w:lvl w:ilvl="0" w:tplc="EE6067C2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0000000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A7C020A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6">
    <w:nsid w:val="00000006"/>
    <w:multiLevelType w:val="hybridMultilevel"/>
    <w:tmpl w:val="FFFFFFFF"/>
    <w:lvl w:ilvl="0" w:tplc="74F8B470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7">
    <w:nsid w:val="00000007"/>
    <w:multiLevelType w:val="hybridMultilevel"/>
    <w:tmpl w:val="0A2C989A"/>
    <w:lvl w:ilvl="0" w:tplc="5A5E5408">
      <w:start w:val="1"/>
      <w:numFmt w:val="arabicAlpha"/>
      <w:lvlText w:val="%1)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00000008"/>
    <w:multiLevelType w:val="hybridMultilevel"/>
    <w:tmpl w:val="FFFFFFFF"/>
    <w:lvl w:ilvl="0" w:tplc="DDBAE29E">
      <w:start w:val="1"/>
      <w:numFmt w:val="arabicAlpha"/>
      <w:lvlText w:val="%1)"/>
      <w:lvlJc w:val="left"/>
      <w:pPr>
        <w:ind w:left="153" w:hanging="360"/>
      </w:pPr>
      <w:rPr>
        <w:rFonts w:cs="Times New Roman"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>
    <w:nsid w:val="00000009"/>
    <w:multiLevelType w:val="hybridMultilevel"/>
    <w:tmpl w:val="FFFFFFFF"/>
    <w:lvl w:ilvl="0" w:tplc="F1F29A1E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0">
    <w:nsid w:val="0000000A"/>
    <w:multiLevelType w:val="hybridMultilevel"/>
    <w:tmpl w:val="FFFFFFFF"/>
    <w:lvl w:ilvl="0" w:tplc="B4A249F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1">
    <w:nsid w:val="0000000B"/>
    <w:multiLevelType w:val="hybridMultilevel"/>
    <w:tmpl w:val="FFFFFFFF"/>
    <w:lvl w:ilvl="0" w:tplc="181C47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FFFFFFF"/>
    <w:lvl w:ilvl="0" w:tplc="1D18690E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3">
    <w:nsid w:val="0000000D"/>
    <w:multiLevelType w:val="hybridMultilevel"/>
    <w:tmpl w:val="2D6275AC"/>
    <w:lvl w:ilvl="0" w:tplc="FD02E328">
      <w:start w:val="1"/>
      <w:numFmt w:val="arabicAlpha"/>
      <w:lvlText w:val="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0000000E"/>
    <w:multiLevelType w:val="hybridMultilevel"/>
    <w:tmpl w:val="7F7C2F12"/>
    <w:lvl w:ilvl="0" w:tplc="D5584D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FFFFFFF"/>
    <w:lvl w:ilvl="0" w:tplc="A094F8B4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6">
    <w:nsid w:val="0000001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1"/>
  </w:num>
  <w:num w:numId="14">
    <w:abstractNumId w:val="7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2 Char"/>
    <w:basedOn w:val="style65"/>
    <w:next w:val="style4097"/>
    <w:link w:val="style2"/>
    <w:uiPriority w:val="9"/>
    <w:rPr>
      <w:rFonts w:ascii="Cambria" w:cs="Times New Roman" w:hAnsi="Cambria"/>
      <w:b/>
      <w:i/>
      <w:sz w:val="28"/>
    </w:rPr>
  </w:style>
  <w:style w:type="character" w:customStyle="1" w:styleId="style4098">
    <w:name w:val="عنوان 3 Char"/>
    <w:basedOn w:val="style65"/>
    <w:next w:val="style4098"/>
    <w:link w:val="style3"/>
    <w:uiPriority w:val="9"/>
    <w:rPr>
      <w:rFonts w:ascii="Cambria" w:cs="Times New Roman" w:eastAsia="Times New Roman" w:hAnsi="Cambria"/>
      <w:b/>
      <w:bCs/>
      <w:sz w:val="26"/>
      <w:szCs w:val="26"/>
    </w:rPr>
  </w:style>
  <w:style w:type="table" w:styleId="style154">
    <w:name w:val="Table Grid"/>
    <w:basedOn w:val="style105"/>
    <w:next w:val="style154"/>
    <w:uiPriority w:val="59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cs="Times New Roman"/>
      <w:sz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imes New Roman" w:hAnsi="Tahoma"/>
      <w:sz w:val="16"/>
    </w:rPr>
  </w:style>
  <w:style w:type="character" w:styleId="style41">
    <w:name w:val="page number"/>
    <w:basedOn w:val="style65"/>
    <w:next w:val="style41"/>
    <w:uiPriority w:val="99"/>
    <w:rPr>
      <w:rFonts w:cs="Times New Roman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160" w:lineRule="auto" w:line="256"/>
      <w:ind w:left="720"/>
      <w:contextualSpacing/>
    </w:pPr>
    <w:rPr>
      <w:rFonts w:ascii="Calibri" w:cs="Arial" w:hAnsi="Calibri"/>
      <w:sz w:val="22"/>
      <w:szCs w:val="22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رأس الصفحة Char"/>
    <w:basedOn w:val="style65"/>
    <w:next w:val="style4101"/>
    <w:link w:val="style31"/>
    <w:uiPriority w:val="99"/>
    <w:rPr>
      <w:rFonts w:cs="Times New Roman"/>
      <w:sz w:val="24"/>
    </w:rPr>
  </w:style>
  <w:style w:type="table" w:customStyle="1" w:styleId="style4102">
    <w:name w:val="جدول شبكة 5 داكن - تمييز 51"/>
    <w:basedOn w:val="style105"/>
    <w:next w:val="style4102"/>
    <w:uiPriority w:val="50"/>
    <w:pPr/>
    <w:rPr>
      <w:rFonts w:ascii="Calibri" w:cs="Arial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Arial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band1Horz">
      <w:pPr/>
      <w:rPr>
        <w:rFonts w:cs="Arial"/>
      </w:rPr>
      <w:tblPr/>
      <w:tcPr>
        <w:tcBorders/>
        <w:shd w:val="clear" w:color="auto" w:fill="b6dde8"/>
      </w:tcPr>
    </w:tblStylePr>
    <w:tblStylePr w:type="fir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pPr/>
      <w:rPr>
        <w:rFonts w:cs="Arial"/>
      </w:rPr>
      <w:tblPr/>
      <w:tcPr>
        <w:tcBorders/>
        <w:shd w:val="clear" w:color="auto" w:fill="b6dde8"/>
      </w:tcPr>
    </w:tblStylePr>
    <w:tcPr>
      <w:tcBorders/>
      <w:shd w:val="clear" w:color="auto" w:fill="daeef3"/>
    </w:tcPr>
  </w:style>
  <w:style w:type="character" w:styleId="style88">
    <w:name w:val="Emphasis"/>
    <w:basedOn w:val="style65"/>
    <w:next w:val="style88"/>
    <w:qFormat/>
    <w:uiPriority w:val="20"/>
    <w:rPr>
      <w:rFonts w:cs="Times New Roman"/>
      <w:i/>
    </w:r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customStyle="1" w:styleId="style4103">
    <w:name w:val="Table Grid1"/>
    <w:basedOn w:val="style105"/>
    <w:next w:val="style154"/>
    <w:uiPriority w:val="59"/>
    <w:pPr/>
    <w:rPr>
      <w:rFonts w:ascii="Calibri" w:cs="Arial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table" w:styleId="style133">
    <w:name w:val="Table Grid 8"/>
    <w:basedOn w:val="style105"/>
    <w:next w:val="style133"/>
    <w:uiPriority w:val="99"/>
    <w:pPr>
      <w:bidi/>
    </w:pPr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pPr/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cPr>
      <w:tcBorders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rFonts w:cs="Times New Roman"/>
        <w:b/>
        <w:bCs/>
      </w:rPr>
      <w:tcPr>
        <w:tcBorders/>
      </w:tcPr>
    </w:tblStylePr>
    <w:tblStylePr w:type="lastRow">
      <w:pPr/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a7bfde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insideH w:val="nil"/>
          <w:insideV w:val="nil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6eed5"/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customStyle="1" w:styleId="style4104">
    <w:name w:val="جدول شبكة 4 - تمييز 61"/>
    <w:basedOn w:val="style105"/>
    <w:next w:val="style4104"/>
    <w:uiPriority w:val="49"/>
    <w:pPr/>
    <w:rPr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fde9d9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fde9d9"/>
      </w:tcPr>
    </w:tblStylePr>
    <w:tcPr>
      <w:tcBorders/>
    </w:tcPr>
  </w:style>
  <w:style w:type="table" w:customStyle="1" w:styleId="style4105">
    <w:name w:val="جدول شبكة 4 - تمييز 51"/>
    <w:basedOn w:val="style105"/>
    <w:next w:val="style4105"/>
    <w:uiPriority w:val="49"/>
    <w:pPr/>
    <w:rPr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daeef3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daeef3"/>
      </w:tcPr>
    </w:tblStylePr>
    <w:tcPr>
      <w:tcBorders/>
    </w:tcPr>
  </w:style>
  <w:style w:type="paragraph" w:styleId="style29">
    <w:name w:val="footnote text"/>
    <w:basedOn w:val="style0"/>
    <w:next w:val="style29"/>
    <w:link w:val="style4106"/>
    <w:uiPriority w:val="99"/>
    <w:pPr>
      <w:bidi w:val="false"/>
    </w:pPr>
    <w:rPr>
      <w:rFonts w:ascii="Calibri" w:cs="Arial" w:hAnsi="Calibri"/>
      <w:sz w:val="20"/>
      <w:szCs w:val="20"/>
    </w:rPr>
  </w:style>
  <w:style w:type="character" w:customStyle="1" w:styleId="style4106">
    <w:name w:val="نص حاشية سفلية Char"/>
    <w:basedOn w:val="style65"/>
    <w:next w:val="style4106"/>
    <w:link w:val="style29"/>
    <w:uiPriority w:val="99"/>
    <w:rPr>
      <w:rFonts w:ascii="Calibri" w:cs="Times New Roman" w:hAnsi="Calibri"/>
    </w:rPr>
  </w:style>
  <w:style w:type="character" w:styleId="style38">
    <w:name w:val="footnote reference"/>
    <w:basedOn w:val="style65"/>
    <w:next w:val="style38"/>
    <w:uiPriority w:val="99"/>
    <w:rPr>
      <w:rFonts w:cs="Times New Roman"/>
      <w:vertAlign w:val="superscript"/>
    </w:rPr>
  </w:style>
  <w:style w:type="character" w:customStyle="1" w:styleId="style4107">
    <w:name w:val="إشارة لم يتم حلها1"/>
    <w:basedOn w:val="style65"/>
    <w:next w:val="style4107"/>
    <w:uiPriority w:val="99"/>
    <w:rPr>
      <w:rFonts w:cs="Times New Roman"/>
      <w:color w:val="605e5c"/>
      <w:shd w:val="clear" w:color="auto" w:fill="e1dfdd"/>
    </w:rPr>
  </w:style>
  <w:style w:type="table" w:customStyle="1" w:styleId="style4108">
    <w:name w:val="جدول شبكة 4 - تمييز 31"/>
    <w:basedOn w:val="style105"/>
    <w:next w:val="style4108"/>
    <w:uiPriority w:val="49"/>
    <w:pPr/>
    <w:rPr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9bbb59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eaf1dd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af1dd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883A-1C8F-426F-82BA-A5420DB0F8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1300</Words>
  <Pages>1</Pages>
  <Characters>7016</Characters>
  <Application>WPS Office</Application>
  <DocSecurity>0</DocSecurity>
  <Paragraphs>284</Paragraphs>
  <ScaleCrop>false</ScaleCrop>
  <Company>Toshiba</Company>
  <LinksUpToDate>false</LinksUpToDate>
  <CharactersWithSpaces>9396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٢٠٢٦-٠٤-١١T٠٧:١٣:٠٠Z</dcterms:created>
  <dc:creator>dell</dc:creator>
  <lastModifiedBy>SM-S928B</lastModifiedBy>
  <lastPrinted>٢٠٢٦-٠٢-١٧T١٣:٤٢:٠٠Z</lastPrinted>
  <dcterms:modified xsi:type="dcterms:W3CDTF">٢٠٢٦-٠٤-١١T١٨:٠٦:٤٩Z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9ba1c316ea494031960d156017ac6e44</vt:lpwstr>
  </property>
</Properties>
</file>