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tabs>
          <w:tab w:val="left" w:leader="none" w:pos="3759"/>
          <w:tab w:val="center" w:leader="none" w:pos="5233"/>
        </w:tabs>
        <w:jc w:val="left"/>
        <w:rPr/>
      </w:pPr>
      <w:r>
        <w:tab/>
      </w:r>
    </w:p>
    <w:p>
      <w:pPr>
        <w:pStyle w:val="style74"/>
        <w:tabs>
          <w:tab w:val="left" w:leader="none" w:pos="9076"/>
        </w:tabs>
        <w:ind w:hanging="291"/>
        <w:rPr/>
      </w:pPr>
      <w:r>
        <w:t xml:space="preserve">     </w:t>
      </w:r>
      <w:r>
        <w:rPr/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6" arcsize="0.16666667," fillcolor="white" stroked="t" style="position:absolute;margin-left:2.4pt;margin-top:10.15pt;width:538.2pt;height:95.25pt;z-index:-2147483645;mso-position-horizontal-relative:text;mso-position-vertical-relative:text;mso-width-relative:page;mso-height-relative:page;mso-wrap-distance-left:0.0pt;mso-wrap-distance-right:0.0pt;visibility:visible;">
                <v:stroke weight="2.25pt"/>
                <v:fill/>
              </v:roundrect>
            </w:pict>
          </mc:Fallback>
        </mc:AlternateContent>
      </w:r>
      <w:r>
        <w:rPr>
          <w:noProof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1027" name="image1.png" descr="logo mo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5990" cy="5238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74"/>
        <w:tabs>
          <w:tab w:val="left" w:leader="none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>
      <w:pPr>
        <w:pStyle w:val="style74"/>
        <w:tabs>
          <w:tab w:val="left" w:leader="none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</w:t>
      </w:r>
      <w:r>
        <w:rPr>
          <w:rFonts w:hint="cs"/>
          <w:sz w:val="24"/>
          <w:szCs w:val="24"/>
          <w:rtl/>
          <w:lang w:bidi="ar-DZ"/>
        </w:rPr>
        <w:t xml:space="preserve">ء </w:t>
      </w:r>
      <w:r>
        <w:rPr>
          <w:sz w:val="24"/>
          <w:szCs w:val="24"/>
          <w:rtl/>
        </w:rPr>
        <w:t xml:space="preserve">                                                </w:t>
      </w:r>
    </w:p>
    <w:p>
      <w:pPr>
        <w:pStyle w:val="style74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                                            </w:t>
      </w:r>
      <w:r>
        <w:rPr>
          <w:sz w:val="24"/>
          <w:szCs w:val="24"/>
          <w:rtl/>
        </w:rPr>
        <w:t xml:space="preserve">                 التاريخ : 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</w:t>
      </w:r>
    </w:p>
    <w:bookmarkStart w:id="0" w:name="_gjdgxs" w:colFirst="0" w:colLast="0"/>
    <w:bookmarkEnd w:id="0"/>
    <w:p>
      <w:pPr>
        <w:pStyle w:val="style74"/>
        <w:tabs>
          <w:tab w:val="left" w:leader="none" w:pos="6959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الفصل الدراسي الثاني</w:t>
      </w:r>
      <w:r>
        <w:rPr>
          <w:sz w:val="24"/>
          <w:szCs w:val="24"/>
          <w:rtl/>
        </w:rPr>
        <w:t xml:space="preserve">                                                                  </w:t>
      </w:r>
      <w:r>
        <w:rPr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الوقت :  حصة دراسية                                 </w:t>
      </w:r>
    </w:p>
    <w:p>
      <w:pPr>
        <w:pStyle w:val="style74"/>
        <w:rPr>
          <w:sz w:val="24"/>
          <w:szCs w:val="24"/>
        </w:rPr>
      </w:pPr>
      <w:r>
        <w:rPr>
          <w:sz w:val="24"/>
          <w:szCs w:val="24"/>
          <w:rtl/>
        </w:rPr>
        <w:t xml:space="preserve">امتحان الشهر </w:t>
      </w:r>
      <w:r>
        <w:rPr>
          <w:rFonts w:hint="cs"/>
          <w:sz w:val="24"/>
          <w:szCs w:val="24"/>
          <w:rtl/>
        </w:rPr>
        <w:t>الثاني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                                                                        العام الدراسي </w:t>
      </w:r>
      <w:r>
        <w:rPr>
          <w:rFonts w:hint="cs"/>
          <w:sz w:val="24"/>
          <w:szCs w:val="24"/>
          <w:rtl/>
        </w:rPr>
        <w:t>:</w:t>
      </w:r>
    </w:p>
    <w:p>
      <w:pPr>
        <w:pStyle w:val="style74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>
        <w:rPr>
          <w:sz w:val="24"/>
          <w:szCs w:val="24"/>
          <w:rtl/>
        </w:rPr>
        <w:t xml:space="preserve">لمالية       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الصف : </w:t>
      </w:r>
      <w:r>
        <w:rPr>
          <w:rFonts w:hint="cs"/>
          <w:sz w:val="24"/>
          <w:szCs w:val="24"/>
          <w:rtl/>
          <w:lang w:val="tr-TR" w:bidi="ar-JO"/>
        </w:rPr>
        <w:t>الثامن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(         )</w:t>
      </w:r>
    </w:p>
    <w:p>
      <w:pPr>
        <w:pStyle w:val="style74"/>
        <w:rPr>
          <w:sz w:val="24"/>
          <w:szCs w:val="24"/>
        </w:rPr>
      </w:pPr>
    </w:p>
    <w:p>
      <w:pPr>
        <w:pStyle w:val="style74"/>
        <w:rPr>
          <w:sz w:val="24"/>
          <w:szCs w:val="24"/>
        </w:rPr>
      </w:pPr>
    </w:p>
    <w:p>
      <w:pPr>
        <w:pStyle w:val="style4097"/>
        <w:ind w:hanging="24"/>
        <w:rPr>
          <w:rFonts w:ascii="Calibri" w:cs="Calibri" w:eastAsia="Calibri" w:hAnsi="Calibri"/>
          <w:b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-3359148</wp:posOffset>
                </wp:positionH>
                <wp:positionV relativeFrom="paragraph">
                  <wp:posOffset>-165734</wp:posOffset>
                </wp:positionV>
                <wp:extent cx="241935" cy="419100"/>
                <wp:effectExtent l="0" t="12700" r="24765" b="0"/>
                <wp:wrapNone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41935" cy="4191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264.5pt;margin-top:-13.05pt;width:19.05pt;height:33.0pt;z-index:3;mso-position-horizontal-relative:text;mso-position-vertical-relative:text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21920" cy="373380"/>
                <wp:effectExtent l="38100" t="25400" r="5080" b="7620"/>
                <wp:wrapNone/>
                <wp:docPr id="1029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21920" cy="37338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ed="f" style="position:absolute;margin-left:-230.3pt;margin-top:-13.05pt;width:9.6pt;height:29.4pt;z-index:4;mso-position-horizontal-relative:text;mso-position-vertical-relative:text;mso-width-relative:page;mso-height-relative:page;mso-wrap-distance-left:0.0pt;mso-wrap-distance-right:0.0pt;visibility:visible;flip:x y;">
                <v:stroke endarrow="block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030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1945" cy="29718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0" fillcolor="white" stroked="t" style="position:absolute;margin-left:-343.25pt;margin-top:12.75pt;width:25.35pt;height:23.4pt;z-index:5;mso-position-horizontal-relative:text;mso-position-vertical-relative:text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31520" cy="807085"/>
                <wp:effectExtent l="0" t="25400" r="17780" b="5715"/>
                <wp:wrapNone/>
                <wp:docPr id="1031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31520" cy="80708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32" filled="f" style="position:absolute;margin-left:-322.1pt;margin-top:-47.2pt;width:57.6pt;height:63.55pt;z-index:6;mso-position-horizontal-relative:text;mso-position-vertical-relative:text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  <w:r>
        <w:rPr>
          <w:rFonts w:ascii="Calibri" w:cs="Calibri" w:eastAsia="Calibri" w:hAnsi="Calibri" w:hint="cs"/>
          <w:sz w:val="32"/>
          <w:szCs w:val="32"/>
          <w:rtl/>
        </w:rPr>
        <w:t>س 1 : ضع إشارة</w:t>
      </w:r>
      <w:r>
        <w:rPr>
          <w:rFonts w:ascii="Calibri" w:cs="Calibri" w:eastAsia="Calibri" w:hAnsi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cs="Calibri" w:eastAsia="Calibri" w:hAnsi="Calibri" w:hint="cs"/>
          <w:b/>
          <w:bCs/>
          <w:sz w:val="32"/>
          <w:szCs w:val="32"/>
          <w:rtl/>
        </w:rPr>
        <w:t xml:space="preserve">( </w:t>
      </w:r>
      <w:r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>
        <w:rPr>
          <w:rFonts w:ascii="Segoe UI Historic" w:cs="Segoe UI Historic" w:hAnsi="Segoe UI Historic"/>
          <w:color w:val="050505"/>
          <w:sz w:val="32"/>
          <w:szCs w:val="32"/>
          <w:shd w:val="clear" w:color="auto" w:fill="ffffff"/>
        </w:rPr>
        <w:t>X</w:t>
      </w:r>
      <w:r>
        <w:rPr>
          <w:rFonts w:ascii="Segoe UI Historic" w:cs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  (</w:t>
      </w:r>
      <w:r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10</w:t>
      </w:r>
      <w:r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علامات )</w:t>
      </w:r>
      <w:r>
        <w:rPr>
          <w:rFonts w:ascii="Segoe UI Historic" w:hAnsi="Segoe UI Historic"/>
          <w:color w:val="050505"/>
          <w:sz w:val="32"/>
          <w:szCs w:val="32"/>
          <w:shd w:val="clear" w:color="auto" w:fill="ffffff"/>
          <w:rtl/>
        </w:rPr>
        <w:br/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200" w:lineRule="auto" w:line="360"/>
        <w:outlineLvl w:val="2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يعد حفظ الأموال في البنك أكثر أماناً من حيث حفظها من الضياع أو السرقة أو التلف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. (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)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200" w:lineRule="auto" w:line="360"/>
        <w:outlineLvl w:val="2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تكمن الحاجة إلى البنوك في أنها توفّر مزايا الأمان وجاهزية الأموال والتمويل والادّخار في آن واحد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.(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)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200" w:lineRule="auto" w:line="360"/>
        <w:outlineLvl w:val="2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في حالة انخفاض النفقات عن الايرادات ينشأ ما يعرف بالفائض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.(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)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200" w:lineRule="auto" w:line="360"/>
        <w:outlineLvl w:val="2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في حالة زيادة النفقات عن الايرادات ينشأ ما يعرف بالفائض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. (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) 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200" w:lineRule="auto" w:line="360"/>
        <w:outlineLvl w:val="2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من فوائد إعادة التدوير زيادة تكاليف تصنيع الأشياء التي تعتمد على المواد المعاد تدويرها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(            )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س 2 : ضع دائرة حول </w:t>
      </w:r>
      <w:r>
        <w:rPr>
          <w:rFonts w:hint="cs"/>
          <w:sz w:val="32"/>
          <w:szCs w:val="32"/>
          <w:rtl/>
        </w:rPr>
        <w:t>رمز الإجابة الصحيحة :                                           (</w:t>
      </w:r>
      <w:r>
        <w:rPr>
          <w:rFonts w:hint="cs"/>
          <w:sz w:val="32"/>
          <w:szCs w:val="32"/>
          <w:rtl/>
        </w:rPr>
        <w:t>10</w:t>
      </w:r>
      <w:r>
        <w:rPr>
          <w:rFonts w:hint="cs"/>
          <w:sz w:val="32"/>
          <w:szCs w:val="32"/>
          <w:rtl/>
        </w:rPr>
        <w:t xml:space="preserve"> علامات)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br/>
      </w:r>
      <w:r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  <w:lang w:val="tr-TR" w:bidi="ar-JO"/>
        </w:rPr>
        <w:t>اتّفقت مجموعة من الأصدقاء على فتح حساب بنكيّ لادخارهم معاً : كل حسب استطاعته بشرط أن يكون لكل عضو سجل عن ودائع الحساب وألّا تسحب النقود إلّا بطريقة متّفق عليها . وعليه فإن خيار الادّخار هنا هو ادّخار في</w:t>
      </w:r>
      <w:r>
        <w:rPr>
          <w:rFonts w:hint="cs"/>
          <w:sz w:val="28"/>
          <w:szCs w:val="28"/>
          <w:rtl/>
          <w:lang w:val="tr-TR"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أ)</w:t>
      </w:r>
      <w:r>
        <w:rPr>
          <w:rFonts w:hint="cs"/>
          <w:b/>
          <w:bCs/>
          <w:sz w:val="28"/>
          <w:szCs w:val="28"/>
          <w:rtl/>
        </w:rPr>
        <w:t xml:space="preserve"> نادي الادّخار</w:t>
      </w:r>
      <w:r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ب) رابط الدّخرات والائتمان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ج</w:t>
      </w:r>
      <w:r>
        <w:rPr>
          <w:rFonts w:hint="cs"/>
          <w:b/>
          <w:bCs/>
          <w:sz w:val="28"/>
          <w:szCs w:val="28"/>
          <w:rtl/>
        </w:rPr>
        <w:t>) المنزل</w:t>
      </w:r>
      <w:r>
        <w:rPr>
          <w:rFonts w:hint="cs"/>
          <w:b/>
          <w:bCs/>
          <w:sz w:val="28"/>
          <w:szCs w:val="28"/>
          <w:rtl/>
        </w:rPr>
        <w:t xml:space="preserve">  . </w:t>
      </w:r>
      <w:r>
        <w:rPr>
          <w:rFonts w:hint="cs"/>
          <w:b/>
          <w:bCs/>
          <w:sz w:val="28"/>
          <w:szCs w:val="28"/>
          <w:rtl/>
        </w:rPr>
        <w:t xml:space="preserve">             د) حساب شخصي في البنك</w:t>
      </w:r>
      <w:r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تعد تخبئة النقود في خزانة الملابس من خيارات الادخار 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أ) المنزل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.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ب) </w:t>
      </w:r>
      <w:r>
        <w:rPr>
          <w:rFonts w:hint="cs"/>
          <w:b/>
          <w:bCs/>
          <w:sz w:val="28"/>
          <w:szCs w:val="28"/>
          <w:rtl/>
        </w:rPr>
        <w:t>حساب شخصي في البنك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ج) نادي الادّخار</w:t>
      </w:r>
      <w:r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د) رابط المدّخرات والائتمان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3)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اتّفق سمير</w:t>
      </w:r>
      <w:r>
        <w:rPr>
          <w:rFonts w:hint="cs"/>
          <w:b/>
          <w:bCs/>
          <w:sz w:val="28"/>
          <w:szCs w:val="28"/>
          <w:rtl/>
        </w:rPr>
        <w:t xml:space="preserve"> وثلاثةٌ من أصدقائه على أن يدفع كل منهم مبلغ 50 دينار شهرياً ولمدّة أربع أشهر بحيث يحصل كل واحد منهم على مبلغ 200 دينار التي تجمع في كلّ شهر . وعليه فإن خيار الادّخار هنا هو ادّخارٌ في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أ) رابط المدّخرات والائتمان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ب)</w:t>
      </w:r>
      <w:r>
        <w:rPr>
          <w:rFonts w:hint="cs"/>
          <w:b/>
          <w:bCs/>
          <w:sz w:val="28"/>
          <w:szCs w:val="28"/>
          <w:rtl/>
        </w:rPr>
        <w:t xml:space="preserve"> نادي الادّخار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ج) المنزل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د) حساب شخصي في البنك</w:t>
      </w:r>
      <w:r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4)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 أسباب الحاجة إلى البنوك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أ) الأمان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ب)</w:t>
      </w:r>
      <w:r>
        <w:rPr>
          <w:rFonts w:hint="cs"/>
          <w:b/>
          <w:bCs/>
          <w:sz w:val="28"/>
          <w:szCs w:val="28"/>
          <w:rtl/>
        </w:rPr>
        <w:t xml:space="preserve"> جاهزية الأموال والتمويل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ج)</w:t>
      </w:r>
      <w:r>
        <w:rPr>
          <w:rFonts w:hint="cs"/>
          <w:b/>
          <w:bCs/>
          <w:sz w:val="28"/>
          <w:szCs w:val="28"/>
          <w:rtl/>
        </w:rPr>
        <w:t xml:space="preserve"> الادّخار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د)</w:t>
      </w:r>
      <w:r>
        <w:rPr>
          <w:rFonts w:hint="cs"/>
          <w:b/>
          <w:bCs/>
          <w:sz w:val="28"/>
          <w:szCs w:val="28"/>
          <w:rtl/>
        </w:rPr>
        <w:t xml:space="preserve"> جميع ما ذكر صحيح</w:t>
      </w:r>
      <w:r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 الأمثلة على المواد القابلة لإعادة التدوير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أ) </w:t>
      </w:r>
      <w:r>
        <w:rPr>
          <w:rFonts w:hint="cs"/>
          <w:b/>
          <w:bCs/>
          <w:sz w:val="28"/>
          <w:szCs w:val="28"/>
          <w:rtl/>
        </w:rPr>
        <w:t xml:space="preserve">الورق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الزجاج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البلاستيك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د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>جميع ما ذكر صحيح</w:t>
      </w:r>
      <w:r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    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</w:rPr>
        <w:t xml:space="preserve">  معلّم المادة :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نموذج ثاني </w:t>
      </w:r>
      <w:r>
        <w:rPr>
          <w:rFonts w:hint="default"/>
          <w:b/>
          <w:bCs/>
          <w:sz w:val="28"/>
          <w:szCs w:val="28"/>
          <w:lang w:val="en-US" w:bidi="ar-DZ"/>
        </w:rPr>
        <w:t>👇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السؤال الأول: عرفي المقصود بما يلي؟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​الموارد المحدودة: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......................................................................................................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​إعادة التدوير: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......................................................................................................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​العجز: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......................................................................................................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​السؤال الثاني: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اذكري مثالين من حياتك اليومية على الترشيد في استهلاكك؟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​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...................................................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...................................................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​السؤال الثالث: عددي أربعة فوائد لإعادة التدوير؟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default"/>
          <w:b/>
          <w:bCs/>
          <w:sz w:val="28"/>
          <w:szCs w:val="28"/>
          <w:rtl/>
          <w:lang w:val="en-US"/>
        </w:rPr>
        <w:t xml:space="preserve">....................................................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default"/>
          <w:b/>
          <w:bCs/>
          <w:sz w:val="28"/>
          <w:szCs w:val="28"/>
          <w:rtl/>
          <w:lang w:val="en-US"/>
        </w:rPr>
        <w:t xml:space="preserve">...................................................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default"/>
          <w:b/>
          <w:bCs/>
          <w:sz w:val="28"/>
          <w:szCs w:val="28"/>
          <w:rtl/>
          <w:lang w:val="en-US"/>
        </w:rPr>
        <w:t xml:space="preserve">...................................................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default"/>
          <w:b/>
          <w:bCs/>
          <w:sz w:val="28"/>
          <w:szCs w:val="28"/>
          <w:rtl/>
          <w:lang w:val="en-US"/>
        </w:rPr>
        <w:t xml:space="preserve">...................................................  </w:t>
      </w:r>
    </w:p>
    <w:p>
      <w:pPr>
        <w:pStyle w:val="style179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​السؤال الرابع: وضح الاختلاف بين النفقات والدخل؟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..................................................................................................... ................................................... ........................................................................................................................................ ..................................................  </w:t>
      </w:r>
    </w:p>
    <w:sectPr>
      <w:footerReference w:type="even" r:id="rId3"/>
      <w:footerReference w:type="default" r:id="rId4"/>
      <w:pgSz w:w="11906" w:h="16838" w:orient="portrait"/>
      <w:pgMar w:top="90" w:right="720" w:bottom="0" w:left="567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egoe UI Historic">
    <w:altName w:val="Segoe UI Historic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rPr>
        <w:color w:val="000000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>
      <w:rPr>
        <w:b/>
        <w:noProof/>
        <w:color w:val="000000"/>
        <w:sz w:val="32"/>
        <w:szCs w:val="32"/>
        <w:rtl/>
      </w:rPr>
      <w:t>1</w:t>
    </w:r>
    <w:r>
      <w:rPr>
        <w:b/>
        <w:color w:val="000000"/>
        <w:sz w:val="32"/>
        <w:szCs w:val="32"/>
      </w:rPr>
      <w:fldChar w:fldCharType="end"/>
    </w: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2BC8ADE"/>
    <w:lvl w:ilvl="0" w:tplc="B908009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0000001"/>
    <w:multiLevelType w:val="hybridMultilevel"/>
    <w:tmpl w:val="99F02034"/>
    <w:lvl w:ilvl="0" w:tplc="60CE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>
        <w:bidi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7"/>
    <w:next w:val="style4097"/>
    <w:pPr>
      <w:jc w:val="center"/>
    </w:pPr>
    <w:rPr>
      <w:b/>
      <w:sz w:val="20"/>
      <w:szCs w:val="20"/>
    </w:rPr>
  </w:style>
  <w:style w:type="paragraph" w:styleId="style74">
    <w:name w:val="Subtitle"/>
    <w:basedOn w:val="style4097"/>
    <w:next w:val="style4097"/>
    <w:pPr/>
    <w:rPr>
      <w:b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ascii="Calibri" w:cs="Arial" w:hAnsi="Calibri"/>
      <w:sz w:val="22"/>
      <w:szCs w:val="22"/>
    </w:rPr>
  </w:style>
  <w:style w:type="table" w:styleId="style154">
    <w:name w:val="Table Grid"/>
    <w:basedOn w:val="style105"/>
    <w:next w:val="style154"/>
    <w:uiPriority w:val="59"/>
    <w:pPr>
      <w:bidi w:val="false"/>
    </w:pPr>
    <w:rPr>
      <w:rFonts w:ascii="Calibri" w:cs="Arial" w:eastAsia="SimSu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Words>405</Words>
  <Pages>1</Pages>
  <Characters>2595</Characters>
  <Application>WPS Office</Application>
  <DocSecurity>0</DocSecurity>
  <Paragraphs>48</Paragraphs>
  <ScaleCrop>false</ScaleCrop>
  <Company>HP</Company>
  <LinksUpToDate>false</LinksUpToDate>
  <CharactersWithSpaces>3952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٢٠٢٤-١١-١٨T٢٣:٥٤:٠٠Z</dcterms:created>
  <dc:creator>salah</dc:creator>
  <lastModifiedBy>SM-S928B</lastModifiedBy>
  <dcterms:modified xsi:type="dcterms:W3CDTF">٢٠٢٦-٠٤-٠٤T١٤:٥٠:٣٩Z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8bad45222a9048ceb8bd4d92fba8fd29</vt:lpwstr>
  </property>
</Properties>
</file>