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text" w:horzAnchor="page" w:tblpX="7693" w:tblpY="-377"/>
        <w:bidiVisual/>
        <w:tblW w:w="0" w:type="auto"/>
        <w:tblLook w:val="04A0" w:firstRow="1" w:lastRow="0" w:firstColumn="1" w:lastColumn="0" w:noHBand="0" w:noVBand="1"/>
      </w:tblPr>
      <w:tblGrid>
        <w:gridCol w:w="1067"/>
        <w:gridCol w:w="2834"/>
      </w:tblGrid>
      <w:tr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spacing w:after="0" w:lineRule="auto" w:line="24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الشعبة:(     )</w:t>
            </w:r>
          </w:p>
        </w:tc>
      </w:tr>
      <w:tr>
        <w:tblPrEx/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spacing w:after="0" w:lineRule="auto" w:line="24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/     / 2026  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page" w:tblpX="1105" w:tblpY="-186"/>
        <w:bidiVisual/>
        <w:tblW w:w="0" w:type="auto"/>
        <w:jc w:val="left"/>
        <w:tblLook w:val="04A0" w:firstRow="1" w:lastRow="0" w:firstColumn="1" w:lastColumn="0" w:noHBand="0" w:noVBand="1"/>
      </w:tblPr>
      <w:tblGrid>
        <w:gridCol w:w="1390"/>
        <w:gridCol w:w="2551"/>
      </w:tblGrid>
      <w:tr>
        <w:trPr>
          <w:trHeight w:val="440" w:hRule="atLeast"/>
          <w:jc w:val="left"/>
        </w:trPr>
        <w:tc>
          <w:tcPr>
            <w:tcW w:w="1390" w:type="dxa"/>
            <w:tcBorders/>
            <w:shd w:val="clear" w:color="auto" w:fill="d9d9d9"/>
          </w:tcPr>
          <w:p>
            <w:pPr>
              <w:pStyle w:val="style0"/>
              <w:bidi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551" w:type="dxa"/>
            <w:tcBorders/>
          </w:tcPr>
          <w:p>
            <w:pPr>
              <w:pStyle w:val="style0"/>
              <w:bidi/>
              <w:spacing w:after="0" w:lineRule="auto" w:line="24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الجغرافيا  </w:t>
            </w:r>
          </w:p>
        </w:tc>
      </w:tr>
      <w:tr>
        <w:tblPrEx/>
        <w:trPr>
          <w:trHeight w:val="530" w:hRule="atLeast"/>
          <w:jc w:val="left"/>
        </w:trPr>
        <w:tc>
          <w:tcPr>
            <w:tcW w:w="3941" w:type="dxa"/>
            <w:gridSpan w:val="2"/>
            <w:tcBorders/>
            <w:shd w:val="clear" w:color="auto" w:fill="d9d9d9"/>
          </w:tcPr>
          <w:p>
            <w:pPr>
              <w:pStyle w:val="style0"/>
              <w:bidi/>
              <w:spacing w:after="0" w:lineRule="auto" w:line="24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امتحان الشهر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</w:tr>
      <w:tr>
        <w:tblPrEx/>
        <w:trPr>
          <w:trHeight w:val="530" w:hRule="atLeast"/>
          <w:jc w:val="left"/>
        </w:trPr>
        <w:tc>
          <w:tcPr>
            <w:tcW w:w="1390" w:type="dxa"/>
            <w:tcBorders/>
            <w:shd w:val="clear" w:color="auto" w:fill="d9d9d9"/>
          </w:tcPr>
          <w:p>
            <w:pPr>
              <w:pStyle w:val="style0"/>
              <w:bidi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مدة الامتحان</w:t>
            </w:r>
          </w:p>
        </w:tc>
        <w:tc>
          <w:tcPr>
            <w:tcW w:w="2551" w:type="dxa"/>
            <w:tcBorders/>
          </w:tcPr>
          <w:p>
            <w:pPr>
              <w:pStyle w:val="style0"/>
              <w:bidi/>
              <w:spacing w:after="0" w:lineRule="auto" w:line="24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حصة صفية </w:t>
            </w:r>
          </w:p>
        </w:tc>
      </w:tr>
    </w:tbl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-72"/>
        <w:bidiVisual/>
        <w:tblW w:w="2678" w:type="dxa"/>
        <w:tblLook w:val="04A0" w:firstRow="1" w:lastRow="0" w:firstColumn="1" w:lastColumn="0" w:noHBand="0" w:noVBand="1"/>
      </w:tblPr>
      <w:tblGrid>
        <w:gridCol w:w="1242"/>
        <w:gridCol w:w="1436"/>
      </w:tblGrid>
      <w:tr>
        <w:trPr>
          <w:trHeight w:val="444" w:hRule="atLeast"/>
        </w:trPr>
        <w:tc>
          <w:tcPr>
            <w:tcW w:w="1242" w:type="dxa"/>
            <w:tcBorders/>
            <w:shd w:val="clear" w:color="auto" w:fill="d9d9d9"/>
          </w:tcPr>
          <w:p>
            <w:pPr>
              <w:pStyle w:val="style0"/>
              <w:bidi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436" w:type="dxa"/>
            <w:tcBorders/>
          </w:tcPr>
          <w:p>
            <w:pPr>
              <w:pStyle w:val="style0"/>
              <w:bidi/>
              <w:spacing w:after="0" w:lineRule="auto" w:lin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/  </w:t>
            </w:r>
          </w:p>
        </w:tc>
      </w:tr>
    </w:tbl>
    <w:p>
      <w:pPr>
        <w:pStyle w:val="style0"/>
        <w:bidi/>
        <w:spacing w:after="0" w:lineRule="auto" w:line="240"/>
        <w:jc w:val="lef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   (الفصل:  الثاني  )</w:t>
      </w:r>
    </w:p>
    <w:p>
      <w:pPr>
        <w:pStyle w:val="style0"/>
        <w:bidi/>
        <w:spacing w:after="0" w:lineRule="auto" w:line="240"/>
        <w:ind w:left="360" w:hanging="36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-61594</wp:posOffset>
                </wp:positionH>
                <wp:positionV relativeFrom="paragraph">
                  <wp:posOffset>123825</wp:posOffset>
                </wp:positionV>
                <wp:extent cx="7079615" cy="28575"/>
                <wp:effectExtent l="0" t="19050" r="45085" b="47625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79615" cy="28575"/>
                        </a:xfrm>
                        <a:prstGeom prst="line"/>
                        <a:ln cmpd="dbl" cap="flat" w="60325">
                          <a:solidFill>
                            <a:srgbClr val="7f7f7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4.85pt,9.75pt" to="552.60004pt,12.0pt" style="position:absolute;z-index:2;mso-position-horizontal-relative:margin;mso-position-vertical-relative:text;mso-width-relative:page;mso-height-relative:page;mso-wrap-distance-left:0.0pt;mso-wrap-distance-right:0.0pt;visibility:visible;">
                <v:stroke joinstyle="miter" linestyle="thinThin" color="#7f7f7f" weight="4.75pt"/>
                <v:fill/>
              </v:line>
            </w:pict>
          </mc:Fallback>
        </mc:AlternateContent>
      </w:r>
    </w:p>
    <w:p>
      <w:pPr>
        <w:pStyle w:val="style179"/>
        <w:numPr>
          <w:ilvl w:val="0"/>
          <w:numId w:val="1"/>
        </w:numPr>
        <w:tabs>
          <w:tab w:val="right" w:leader="none" w:pos="9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اعمق نقطة في المحيطات يمتد اليها الغلاف الجوي هي خندق ماريان على عمق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ا- 10 كم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ب- 11 كم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ج- 12 كم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د- 13 كم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التفاعلات بين الافراد والجماعات من مكونات البيئة البشرية ضمن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المنشات العمرانية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العلاقات الاجتماعية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المنظومة الثقافية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المنظومة السلوكية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النمو والتكاثر والتكيف من خصائص البيئة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r>
        <w:rPr>
          <w:rFonts w:hint="cs"/>
          <w:sz w:val="28"/>
          <w:szCs w:val="28"/>
          <w:rtl/>
          <w:lang w:bidi="ar-JO"/>
        </w:rPr>
        <w:t xml:space="preserve">التكيف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الترابط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الاستمرارية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التغير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مكونات النظام البيئي النباتات والطحالب وهي مكونات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محللات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حية مستهلكة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حية منتجة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غير حية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غابات الامازون وغابات الكونغو لها دور في النظم البيئية في حياة الانسان من خلال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r>
        <w:rPr>
          <w:rFonts w:hint="cs"/>
          <w:sz w:val="28"/>
          <w:szCs w:val="28"/>
          <w:highlight w:val="yellow"/>
          <w:rtl/>
          <w:lang w:bidi="ar-JO"/>
        </w:rPr>
        <w:t>تنظيم المناخ والعوامل البيئية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الحفاظ على التوازن البيئي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الاسهام في الصحة العامة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توفير الموارد الاساسية في الحياة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يستخرج الكينين من شجر الكينا ويستخدم في علاج مرض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التيفوئيد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السل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السرطان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الملاريا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ابعاد التنمية المستدامة كل مما يلي ماعدا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بيئية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اقتصادية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اجتماعية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ثقافية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اكثر النظم البيئية تعقيدا حيويا في العالم هي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الغابات الباردة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الغابات الحارة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اعماق المحيطات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الشعب المرجانية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خصائص النظم البيئية كل مما يلي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اعادة التدوير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تعدد المكونات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التعقيد الحيوي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التوازن البيئي </w:t>
      </w: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الجوانب الحيوية في اهمية التوازن البيئي كل مما يلي ماعدا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استمرار الحياة على الارض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الحفاظ على الموارد الطبيعية واستدامتها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ج- دعم التنمية الاقتصادية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صحة النظم البيئية وقدرتها على تنظيم الخدمات البيئية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اكثر المدن تلوثا في العالم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نيويورك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برلين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طهران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نيودلهي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واحدة مما ياتي ليست من خصائص النظم البيئية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توفير الموارد الحيوية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تنظيم المناخ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فقدان التنوع البيولوجي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تقديم الخدمات البيئية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العمليات التي تسعى من خلالها البيئة الى الحفاظ على استمراريتها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التبخر والهطول والرياح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الامتصاص والنقل والاخراج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البناء الضوئي والتنفس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النمو والتكاثر والت</w:t>
      </w:r>
      <w:r>
        <w:rPr>
          <w:rFonts w:hint="cs"/>
          <w:sz w:val="28"/>
          <w:szCs w:val="28"/>
          <w:highlight w:val="yellow"/>
          <w:rtl/>
          <w:lang w:bidi="ar-JO"/>
        </w:rPr>
        <w:t>كيف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العالم الذي اشار الى تاثير المناخ في طبائع الشعوب وتاثير الهواء على لون البشرة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البيروني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ابن النفس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ابن خلدون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ابن النفيس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مؤلف كتاب الجغرافيا البشرية هو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راتزل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ابن خلدون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لوسيان فيفر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كارل ساور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الين سمبل في كتابها ( تاثيرات البيئة الجغرافية ) وصفت شعوب شمال اوروبا بانها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تميل للمرح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نشيطة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خاملة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غير عقلانية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الانتقادات التي وجهت الى النظرية الحتمية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اغقال تاريخ الشعوب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اغفال دور العقل و التكنولوجيا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عظمت دور الانسان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بالغت في تقدير سيطرة الانسان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يزرع القمح الربيعي في </w:t>
      </w:r>
      <w:r>
        <w:rPr>
          <w:rFonts w:hint="cs"/>
          <w:b/>
          <w:bCs/>
          <w:sz w:val="28"/>
          <w:szCs w:val="28"/>
          <w:rtl/>
          <w:lang w:bidi="ar-JO"/>
        </w:rPr>
        <w:t>كندا و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الولايات المتحدة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الصين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اوكرانيا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روسيا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النظرية التوافقية تقوم على ان العلاقة بين الانسان والبيئة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عدائية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تبادلية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rFonts w:hint="cs"/>
          <w:sz w:val="28"/>
          <w:szCs w:val="28"/>
          <w:rtl/>
          <w:lang w:bidi="ar-JO"/>
        </w:rPr>
        <w:t xml:space="preserve">حتمية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امكانية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الانتقادات التي وجهت للنظرية التوافقية انها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افتقرت الى الدقة العلمية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عظمت دور الانسان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اهملت دور التكنولوجيا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اهلمت التطور التاريخي للانسان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ابرز رواد نظرية الامكانية البيئية هو فيدال دي لابلاش الذي يرى ان </w:t>
      </w:r>
    </w:p>
    <w:bookmarkStart w:id="0" w:name="_Hlk225514498"/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highlight w:val="yellow"/>
          <w:rtl/>
          <w:lang w:bidi="ar-JO"/>
        </w:rPr>
        <w:t>- الانسان يؤثر في البيئة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البيئة تقدم للانسان مجموعة من الاحتمالات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البيئة نتاج التفاعل بين الانسان والطبيعة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البيئة تجاهلت قدرة الانسان على التاقلم </w:t>
      </w:r>
    </w:p>
    <w:bookmarkEnd w:id="0"/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ابرز رواد نظرية الامكانية البيئية هو لوسيان فيفر الذي يرى ان </w:t>
      </w:r>
    </w:p>
    <w:p>
      <w:pPr>
        <w:pStyle w:val="style0"/>
        <w:tabs>
          <w:tab w:val="right" w:leader="none" w:pos="90"/>
          <w:tab w:val="right" w:leader="none" w:pos="27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الانسان يؤثر في البيئة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البيئة تقدم للانسان مجموعة من الاحتمالات</w:t>
      </w:r>
    </w:p>
    <w:p>
      <w:pPr>
        <w:pStyle w:val="style0"/>
        <w:tabs>
          <w:tab w:val="right" w:leader="none" w:pos="90"/>
          <w:tab w:val="right" w:leader="none" w:pos="27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البيئة نتاج التفاعل بين الانسان والطبيعة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البيئة تجاهلت قدرة الانسان على التاقلم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ابرز رواد نظرية الامكانية البيئية كارل ساور الذي يرى ان </w:t>
      </w:r>
    </w:p>
    <w:p>
      <w:pPr>
        <w:pStyle w:val="style0"/>
        <w:tabs>
          <w:tab w:val="right" w:leader="none" w:pos="90"/>
          <w:tab w:val="right" w:leader="none" w:pos="27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الانسان يؤثر في البيئة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البيئة تقدم للانسان مجموعة من الاحتمالات</w:t>
      </w:r>
    </w:p>
    <w:p>
      <w:pPr>
        <w:pStyle w:val="style0"/>
        <w:tabs>
          <w:tab w:val="right" w:leader="none" w:pos="90"/>
          <w:tab w:val="right" w:leader="none" w:pos="270"/>
        </w:tabs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ج- البيئة نتاج التفاعل بين الانسان والطبيعة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البيئة تجاهلت قدرة الانسان على التاقلم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اكثر الدول استنزافا للمياه الجوفية هي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السعودية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الاردن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الهند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افغانستان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اكبر مراكز تجميع النفابات الالكترونية في العالم هما  الصين و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مصر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غانا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الهند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فرنسا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ازالة الغابات في اندونيسيا لاقامة مزارع زيت النخيل ادى الى فقدان موائل حيوانات مثل انسان الغاب و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النمر الافريقي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نمر سومطرة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الاسد الافريقي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النمر الامريكي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اخطر الملوثات البيئية هي الامطار التي تحتوي على حمض الكبريتيك وحمض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النتريك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الكربونيك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الفسفوريك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الفوليك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الغازات الي تساهم في ظاهرة الاحترار العالمي غاز اكسيد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الحديد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الالومنيوم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النيتروز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النحاس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يقدر العلماء ان  تكون سنتميتر واحد من التربة الزراعية يحتاج الى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ا- 200-300 سنة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ب- 200-400 سنة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ج- 300-400سنة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د- 300-500 سنة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اكثر دول العالم تاثرا بالتصحر هي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الهند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جنوب افريقيا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السعودية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الصين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اسباب تراجع القدرة الانتاجية للاراضي كل مما يلي ماعدا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الرعي الجائر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فيضانات الانهار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تراجع معدلات الامطار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ازدياد ملوحة التربة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اسباب تفاقم المشكلات البيئية كل مما يلي ماعدا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النمو السكاني السريع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الانشطة الزراعية غير المستدامة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ج- اجتثاث الغابات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التغير المناخي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اهداف المحافظة على البيئة كل مما يلي ماعدا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الحفاظ على التنوع الحيوي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الاستخدام المستدام للموارد الطبيعية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تحسين جودة الحياة والصحة العامة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د- </w:t>
      </w:r>
      <w:r>
        <w:rPr>
          <w:rFonts w:hint="cs"/>
          <w:sz w:val="28"/>
          <w:szCs w:val="28"/>
          <w:highlight w:val="yellow"/>
          <w:rtl/>
          <w:lang w:bidi="ar-JO"/>
        </w:rPr>
        <w:t>توفير فرص عمل جديدة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اكثر دول العالم نجاحا في الحفاظ على الغابات المطيرة هي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كوستاريكا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فنزويلا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كولومبيا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البيرو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برامج التربية من اجل التنمية المستدامة اطلقته منظمة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اليونسكو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اليونسيف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الفاو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الانوروا </w:t>
      </w: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الاساس الذي تقوم عليه جميع الخدمات البيئية وتمكن النظم البيئية من تكوين التربة وانتاج الاكسجين هو خدمات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الامداد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التنظيم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الدعم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الثقافة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تقييم الاثر البيئي هو عملية اجرائية يتم من خلالها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تحديد الاثار البيئية المحتملة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تحسين جودة الحياة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دمج البعد البيئي في التنمية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د-الحفاظ على التنوع الحيوي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اهداف تقييم الاثر البيئي كل مما يلي ماعدا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تعزيز الاثار الايجابية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الحد من الاثار البيئية السلبية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ضمان تطوير المشاريع بطريقة مستدامة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د-مواجهة التغير المناخي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ابعاد التنمية المستدامة كل مما يلي ماعدا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ثقافي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اقتصادي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بيئي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اجتماعي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مكونات السياحة البيئية ك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مما يلي ماعدا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المورد الطبيعي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الادارة المستدامة </w:t>
      </w:r>
      <w:r>
        <w:rPr>
          <w:sz w:val="28"/>
          <w:szCs w:val="28"/>
          <w:rtl/>
          <w:lang w:bidi="ar-JO"/>
        </w:rPr>
        <w:tab/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البعد الثقافي المجتمعي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راس المال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الاثار الايجابية للسياحة البيئية كل مما يلي ماعدا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حماية الحياة الطبيعية من التلوث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صون التراث الثقافي والموروث المحلي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 xml:space="preserve">ج- تحسين البنية التحتية وزيادة الايرادات </w:t>
      </w:r>
      <w:r>
        <w:rPr>
          <w:rFonts w:hint="cs"/>
          <w:sz w:val="28"/>
          <w:szCs w:val="28"/>
          <w:highlight w:val="yellow"/>
          <w:rtl/>
          <w:lang w:bidi="ar-JO"/>
        </w:rPr>
        <w:t>الخاصة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رفع الوعي البيئي لدى السكان المحليين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الاقامة في النزل البيئية من ابرز انشطة سياحة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المغامرات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المائية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التخييم والسفاري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تسلق الجبال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اسباب انشاء المحميات في الاردن كل مما يلي ماعدا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تعزيز التنوع الحيوي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اعادة توطين الانواع المنقرضة محليا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تنمية المجتمعات المحلية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صون التراث الثقافي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المحمية التي تتميز بتنوع اقاليمها الحيوية هي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دبين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ضانا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اليرموك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برقع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اكبر المحميات الطبيعية في الاردن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الشومري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برقع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ضانا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الازرق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توجد شجرة الملول في محمية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الشومري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الموجب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دبين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اليرموك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المحمية التي تعد الحد الجنوبي الشرقي لغابات الصنوبر الحلبي هي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ضانا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اليرموك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دبين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الشومري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المحمية التي تعد موئل طبيعي للمها العربي هي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برقع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اليرموك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دبين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الشومري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اخفض محمية على سطح الارض هي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الموجب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اليرموك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الشومري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برقع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right" w:leader="none" w:pos="90"/>
          <w:tab w:val="right" w:leader="none" w:pos="270"/>
        </w:tabs>
        <w:bidi/>
        <w:spacing w:after="0" w:lineRule="auto" w:line="240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المحمية التي تعد من المناطق المهمة دوليا لهجرة الطيور هي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الشومري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الازرق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الموجب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اليرموك </w:t>
      </w:r>
    </w:p>
    <w:p>
      <w:pPr>
        <w:pStyle w:val="style179"/>
        <w:tabs>
          <w:tab w:val="right" w:leader="none" w:pos="90"/>
          <w:tab w:val="right" w:leader="none" w:pos="27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</w:rPr>
      </w:pPr>
    </w:p>
    <w:p>
      <w:pPr>
        <w:pStyle w:val="style179"/>
        <w:tabs>
          <w:tab w:val="right" w:leader="none" w:pos="90"/>
        </w:tabs>
        <w:bidi/>
        <w:spacing w:after="0" w:lineRule="auto" w:line="240"/>
        <w:ind w:left="0"/>
        <w:rPr>
          <w:sz w:val="28"/>
          <w:szCs w:val="28"/>
          <w:rtl/>
        </w:rPr>
      </w:pPr>
    </w:p>
    <w:p>
      <w:pPr>
        <w:pStyle w:val="style0"/>
        <w:spacing w:after="0" w:lineRule="auto" w:line="240"/>
        <w:jc w:val="right"/>
        <w:rPr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jc w:val="right"/>
        <w:rPr>
          <w:rtl/>
        </w:rPr>
      </w:pPr>
    </w:p>
    <w:p>
      <w:pPr>
        <w:pStyle w:val="style0"/>
        <w:spacing w:after="0" w:lineRule="auto" w:line="240"/>
        <w:jc w:val="right"/>
        <w:rPr>
          <w:rtl/>
        </w:rPr>
      </w:pPr>
      <w:r>
        <w:rPr>
          <w:rFonts w:hint="cs"/>
          <w:rtl/>
        </w:rPr>
        <w:t xml:space="preserve"> </w:t>
      </w:r>
    </w:p>
    <w:p>
      <w:pPr>
        <w:pStyle w:val="style0"/>
        <w:spacing w:after="0" w:lineRule="auto" w:line="240"/>
        <w:jc w:val="right"/>
        <w:rPr/>
      </w:pPr>
      <w:r>
        <w:rPr>
          <w:rFonts w:hint="cs"/>
          <w:rtl/>
        </w:rPr>
        <w:t xml:space="preserve"> </w:t>
      </w:r>
    </w:p>
    <w:p>
      <w:pPr>
        <w:pStyle w:val="style0"/>
        <w:bidi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كل التوفيق طلابنا الاعزاء</w: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صالح القدومي</w:t>
      </w:r>
    </w:p>
    <w:sectPr>
      <w:footerReference w:type="default" r:id="rId2"/>
      <w:pgSz w:w="12240" w:h="15840" w:orient="portrait"/>
      <w:pgMar w:top="990" w:right="1080" w:bottom="900" w:left="720" w:header="720" w:footer="720" w:gutter="0"/>
      <w:pgBorders w:zOrder="front" w:display="allPages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t>2</w:t>
    </w:r>
    <w:r>
      <w:rPr/>
      <w:fldChar w:fldCharType="end"/>
    </w:r>
  </w:p>
  <w:p>
    <w:pPr>
      <w:pStyle w:val="style32"/>
      <w:rPr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9EA9804"/>
    <w:lvl w:ilvl="0" w:tplc="34249C2A">
      <w:start w:val="2025"/>
      <w:numFmt w:val="bullet"/>
      <w:lvlText w:val="-"/>
      <w:lvlJc w:val="left"/>
      <w:pPr>
        <w:ind w:left="444" w:hanging="360"/>
      </w:pPr>
      <w:rPr>
        <w:rFonts w:ascii="Arial" w:cs="Arial" w:eastAsia="Calibri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FC48E5A"/>
    <w:lvl w:ilvl="0" w:tplc="CF34946A">
      <w:start w:val="1"/>
      <w:numFmt w:val="decimal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sz w:val="22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bidi/>
      <w:spacing w:before="360" w:after="80" w:lineRule="auto" w:line="240"/>
      <w:outlineLvl w:val="0"/>
    </w:pPr>
    <w:rPr>
      <w:rFonts w:ascii="Calibri Light" w:cs="Times New Roman" w:eastAsia="宋体" w:hAnsi="Calibri Light"/>
      <w:color w:val="2e74b5"/>
      <w:kern w:val="2"/>
      <w:sz w:val="40"/>
      <w:szCs w:val="40"/>
      <w14:ligatures xmlns:w14="http://schemas.microsoft.com/office/word/2010/wordml" w14:val="standardContextual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bidi/>
      <w:spacing w:before="160" w:after="80" w:lineRule="auto" w:line="240"/>
      <w:outlineLvl w:val="1"/>
    </w:pPr>
    <w:rPr>
      <w:rFonts w:ascii="Calibri Light" w:cs="Times New Roman" w:eastAsia="宋体" w:hAnsi="Calibri Light"/>
      <w:color w:val="2e74b5"/>
      <w:kern w:val="2"/>
      <w:sz w:val="32"/>
      <w:szCs w:val="32"/>
      <w14:ligatures xmlns:w14="http://schemas.microsoft.com/office/word/2010/wordml" w14:val="standardContextual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bidi/>
      <w:spacing w:before="160" w:after="80" w:lineRule="auto" w:line="240"/>
      <w:outlineLvl w:val="2"/>
    </w:pPr>
    <w:rPr>
      <w:rFonts w:cs="Times New Roman" w:eastAsia="宋体"/>
      <w:color w:val="2e74b5"/>
      <w:kern w:val="2"/>
      <w:sz w:val="28"/>
      <w:szCs w:val="28"/>
      <w14:ligatures xmlns:w14="http://schemas.microsoft.com/office/word/2010/wordml" w14:val="standardContextual"/>
    </w:rPr>
  </w:style>
  <w:style w:type="paragraph" w:styleId="style4">
    <w:name w:val="heading 4"/>
    <w:basedOn w:val="style0"/>
    <w:next w:val="style0"/>
    <w:link w:val="style4102"/>
    <w:qFormat/>
    <w:uiPriority w:val="9"/>
    <w:pPr>
      <w:keepNext/>
      <w:keepLines/>
      <w:bidi/>
      <w:spacing w:before="80" w:after="40" w:lineRule="auto" w:line="240"/>
      <w:outlineLvl w:val="3"/>
    </w:pPr>
    <w:rPr>
      <w:rFonts w:cs="Times New Roman" w:eastAsia="宋体"/>
      <w:i/>
      <w:iCs/>
      <w:color w:val="2e74b5"/>
      <w:kern w:val="2"/>
      <w14:ligatures xmlns:w14="http://schemas.microsoft.com/office/word/2010/wordml" w14:val="standardContextual"/>
    </w:rPr>
  </w:style>
  <w:style w:type="paragraph" w:styleId="style5">
    <w:name w:val="heading 5"/>
    <w:basedOn w:val="style0"/>
    <w:next w:val="style0"/>
    <w:link w:val="style4103"/>
    <w:qFormat/>
    <w:uiPriority w:val="9"/>
    <w:pPr>
      <w:keepNext/>
      <w:keepLines/>
      <w:bidi/>
      <w:spacing w:before="80" w:after="40" w:lineRule="auto" w:line="240"/>
      <w:outlineLvl w:val="4"/>
    </w:pPr>
    <w:rPr>
      <w:rFonts w:cs="Times New Roman" w:eastAsia="宋体"/>
      <w:color w:val="2e74b5"/>
      <w:kern w:val="2"/>
      <w14:ligatures xmlns:w14="http://schemas.microsoft.com/office/word/2010/wordml" w14:val="standardContextual"/>
    </w:rPr>
  </w:style>
  <w:style w:type="paragraph" w:styleId="style6">
    <w:name w:val="heading 6"/>
    <w:basedOn w:val="style0"/>
    <w:next w:val="style0"/>
    <w:link w:val="style4104"/>
    <w:qFormat/>
    <w:uiPriority w:val="9"/>
    <w:pPr>
      <w:keepNext/>
      <w:keepLines/>
      <w:bidi/>
      <w:spacing w:before="40" w:after="0" w:lineRule="auto" w:line="240"/>
      <w:outlineLvl w:val="5"/>
    </w:pPr>
    <w:rPr>
      <w:rFonts w:cs="Times New Roman" w:eastAsia="宋体"/>
      <w:i/>
      <w:iCs/>
      <w:color w:val="595959"/>
      <w:kern w:val="2"/>
      <w14:ligatures xmlns:w14="http://schemas.microsoft.com/office/word/2010/wordml" w14:val="standardContextual"/>
    </w:rPr>
  </w:style>
  <w:style w:type="paragraph" w:styleId="style7">
    <w:name w:val="heading 7"/>
    <w:basedOn w:val="style0"/>
    <w:next w:val="style0"/>
    <w:link w:val="style4105"/>
    <w:qFormat/>
    <w:uiPriority w:val="9"/>
    <w:pPr>
      <w:keepNext/>
      <w:keepLines/>
      <w:bidi/>
      <w:spacing w:before="40" w:after="0" w:lineRule="auto" w:line="240"/>
      <w:outlineLvl w:val="6"/>
    </w:pPr>
    <w:rPr>
      <w:rFonts w:cs="Times New Roman" w:eastAsia="宋体"/>
      <w:color w:val="595959"/>
      <w:kern w:val="2"/>
      <w14:ligatures xmlns:w14="http://schemas.microsoft.com/office/word/2010/wordml" w14:val="standardContextual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bidi/>
      <w:spacing w:after="0" w:lineRule="auto" w:line="240"/>
      <w:outlineLvl w:val="7"/>
    </w:pPr>
    <w:rPr>
      <w:rFonts w:cs="Times New Roman" w:eastAsia="宋体"/>
      <w:i/>
      <w:iCs/>
      <w:color w:val="262626"/>
      <w:kern w:val="2"/>
      <w14:ligatures xmlns:w14="http://schemas.microsoft.com/office/word/2010/wordml" w14:val="standardContextual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bidi/>
      <w:spacing w:after="0" w:lineRule="auto" w:line="240"/>
      <w:outlineLvl w:val="8"/>
    </w:pPr>
    <w:rPr>
      <w:rFonts w:cs="Times New Roman" w:eastAsia="宋体"/>
      <w:color w:val="262626"/>
      <w:kern w:val="2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115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74">
    <w:name w:val="Subtitle"/>
    <w:basedOn w:val="style0"/>
    <w:next w:val="style0"/>
    <w:link w:val="style4109"/>
    <w:qFormat/>
    <w:uiPriority w:val="11"/>
    <w:pPr>
      <w:bidi/>
      <w:spacing w:lineRule="auto" w:line="240"/>
    </w:pPr>
    <w:rPr>
      <w:rFonts w:cs="Times New Roman" w:eastAsia="宋体"/>
      <w:color w:val="595959"/>
      <w:spacing w:val="15"/>
      <w:kern w:val="2"/>
      <w:sz w:val="28"/>
      <w:szCs w:val="28"/>
      <w14:ligatures xmlns:w14="http://schemas.microsoft.com/office/word/2010/wordml" w14:val="standardContextual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0"/>
    <w:link w:val="style4108"/>
    <w:qFormat/>
    <w:uiPriority w:val="10"/>
    <w:pPr>
      <w:bidi/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  <w14:ligatures xmlns:w14="http://schemas.microsoft.com/office/word/2010/wordml" w14:val="standardContextual"/>
    </w:rPr>
  </w:style>
  <w:style w:type="character" w:customStyle="1" w:styleId="style4097">
    <w:name w:val="Footer Char_6d7a2e13-cd12-4a11-be30-c31a46ce42d3"/>
    <w:basedOn w:val="style65"/>
    <w:next w:val="style4097"/>
    <w:link w:val="style32"/>
    <w:uiPriority w:val="99"/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character" w:customStyle="1" w:styleId="style4098">
    <w:name w:val="Header Char_f5fbb33d-cc22-4031-a65e-58785f8ac17a"/>
    <w:basedOn w:val="style65"/>
    <w:next w:val="style4098"/>
    <w:link w:val="style31"/>
    <w:uiPriority w:val="99"/>
  </w:style>
  <w:style w:type="character" w:customStyle="1" w:styleId="style4099">
    <w:name w:val="Heading 1 Char_0a9bb971-a989-45ed-b5b3-cd8e1ea2b470"/>
    <w:basedOn w:val="style65"/>
    <w:next w:val="style4099"/>
    <w:link w:val="style1"/>
    <w:uiPriority w:val="9"/>
    <w:rPr>
      <w:rFonts w:ascii="Calibri Light" w:cs="Times New Roman" w:eastAsia="宋体" w:hAnsi="Calibri Light"/>
      <w:color w:val="2e74b5"/>
      <w:kern w:val="2"/>
      <w:sz w:val="40"/>
      <w:szCs w:val="40"/>
      <w14:ligatures xmlns:w14="http://schemas.microsoft.com/office/word/2010/wordml" w14:val="standardContextual"/>
    </w:rPr>
  </w:style>
  <w:style w:type="character" w:customStyle="1" w:styleId="style4100">
    <w:name w:val="Heading 2 Char_01dc9c31-4c10-43e0-a1b1-d308acc9d8e2"/>
    <w:basedOn w:val="style65"/>
    <w:next w:val="style4100"/>
    <w:link w:val="style2"/>
    <w:uiPriority w:val="9"/>
    <w:rPr>
      <w:rFonts w:ascii="Calibri Light" w:cs="Times New Roman" w:eastAsia="宋体" w:hAnsi="Calibri Light"/>
      <w:color w:val="2e74b5"/>
      <w:kern w:val="2"/>
      <w:sz w:val="32"/>
      <w:szCs w:val="32"/>
      <w14:ligatures xmlns:w14="http://schemas.microsoft.com/office/word/2010/wordml" w14:val="standardContextual"/>
    </w:rPr>
  </w:style>
  <w:style w:type="character" w:customStyle="1" w:styleId="style4101">
    <w:name w:val="Heading 3 Char_e9436910-bcee-410d-a36a-57139d7fc4ee"/>
    <w:basedOn w:val="style65"/>
    <w:next w:val="style4101"/>
    <w:link w:val="style3"/>
    <w:uiPriority w:val="9"/>
    <w:rPr>
      <w:rFonts w:cs="Times New Roman" w:eastAsia="宋体"/>
      <w:color w:val="2e74b5"/>
      <w:kern w:val="2"/>
      <w:sz w:val="28"/>
      <w:szCs w:val="28"/>
      <w14:ligatures xmlns:w14="http://schemas.microsoft.com/office/word/2010/wordml" w14:val="standardContextual"/>
    </w:rPr>
  </w:style>
  <w:style w:type="character" w:customStyle="1" w:styleId="style4102">
    <w:name w:val="Heading 4 Char_faf0cd5c-f519-4938-9af0-d7e6f8e71169"/>
    <w:basedOn w:val="style65"/>
    <w:next w:val="style4102"/>
    <w:link w:val="style4"/>
    <w:uiPriority w:val="9"/>
    <w:rPr>
      <w:rFonts w:cs="Times New Roman" w:eastAsia="宋体"/>
      <w:i/>
      <w:iCs/>
      <w:color w:val="2e74b5"/>
      <w:kern w:val="2"/>
      <w14:ligatures xmlns:w14="http://schemas.microsoft.com/office/word/2010/wordml" w14:val="standardContextual"/>
    </w:rPr>
  </w:style>
  <w:style w:type="character" w:customStyle="1" w:styleId="style4103">
    <w:name w:val="Heading 5 Char_2b449586-26b0-4a8b-944b-6e00e35e8363"/>
    <w:basedOn w:val="style65"/>
    <w:next w:val="style4103"/>
    <w:link w:val="style5"/>
    <w:uiPriority w:val="9"/>
    <w:rPr>
      <w:rFonts w:cs="Times New Roman" w:eastAsia="宋体"/>
      <w:color w:val="2e74b5"/>
      <w:kern w:val="2"/>
      <w14:ligatures xmlns:w14="http://schemas.microsoft.com/office/word/2010/wordml" w14:val="standardContextual"/>
    </w:rPr>
  </w:style>
  <w:style w:type="character" w:customStyle="1" w:styleId="style4104">
    <w:name w:val="Heading 6 Char_ebf59791-37f6-4d35-85ec-52983e25eaa4"/>
    <w:basedOn w:val="style65"/>
    <w:next w:val="style4104"/>
    <w:link w:val="style6"/>
    <w:uiPriority w:val="9"/>
    <w:rPr>
      <w:rFonts w:cs="Times New Roman" w:eastAsia="宋体"/>
      <w:i/>
      <w:iCs/>
      <w:color w:val="595959"/>
      <w:kern w:val="2"/>
      <w14:ligatures xmlns:w14="http://schemas.microsoft.com/office/word/2010/wordml" w14:val="standardContextual"/>
    </w:rPr>
  </w:style>
  <w:style w:type="character" w:customStyle="1" w:styleId="style4105">
    <w:name w:val="Heading 7 Char_1e7e1513-e8ad-4812-b72f-6e321f25c366"/>
    <w:basedOn w:val="style65"/>
    <w:next w:val="style4105"/>
    <w:link w:val="style7"/>
    <w:uiPriority w:val="9"/>
    <w:rPr>
      <w:rFonts w:cs="Times New Roman" w:eastAsia="宋体"/>
      <w:color w:val="595959"/>
      <w:kern w:val="2"/>
      <w14:ligatures xmlns:w14="http://schemas.microsoft.com/office/word/2010/wordml" w14:val="standardContextual"/>
    </w:rPr>
  </w:style>
  <w:style w:type="character" w:customStyle="1" w:styleId="style4106">
    <w:name w:val="Heading 8 Char_f474d8ee-6003-46b0-a0b3-4ab736e0df0b"/>
    <w:basedOn w:val="style65"/>
    <w:next w:val="style4106"/>
    <w:link w:val="style8"/>
    <w:uiPriority w:val="9"/>
    <w:rPr>
      <w:rFonts w:cs="Times New Roman" w:eastAsia="宋体"/>
      <w:i/>
      <w:iCs/>
      <w:color w:val="262626"/>
      <w:kern w:val="2"/>
      <w14:ligatures xmlns:w14="http://schemas.microsoft.com/office/word/2010/wordml" w14:val="standardContextual"/>
    </w:rPr>
  </w:style>
  <w:style w:type="character" w:customStyle="1" w:styleId="style4107">
    <w:name w:val="Heading 9 Char_2fe43430-041e-4842-9b33-6a3f65d191f0"/>
    <w:basedOn w:val="style65"/>
    <w:next w:val="style4107"/>
    <w:link w:val="style9"/>
    <w:uiPriority w:val="9"/>
    <w:rPr>
      <w:rFonts w:cs="Times New Roman" w:eastAsia="宋体"/>
      <w:color w:val="262626"/>
      <w:kern w:val="2"/>
      <w14:ligatures xmlns:w14="http://schemas.microsoft.com/office/word/2010/wordml" w14:val="standardContextual"/>
    </w:rPr>
  </w:style>
  <w:style w:type="character" w:customStyle="1" w:styleId="style4108">
    <w:name w:val="Title Char_ace914f5-be2e-4bda-87f8-fc09b23e9210"/>
    <w:basedOn w:val="style65"/>
    <w:next w:val="style4108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  <w14:ligatures xmlns:w14="http://schemas.microsoft.com/office/word/2010/wordml" w14:val="standardContextual"/>
    </w:rPr>
  </w:style>
  <w:style w:type="character" w:customStyle="1" w:styleId="style4109">
    <w:name w:val="Subtitle Char"/>
    <w:basedOn w:val="style65"/>
    <w:next w:val="style4109"/>
    <w:link w:val="style74"/>
    <w:uiPriority w:val="11"/>
    <w:rPr>
      <w:rFonts w:cs="Times New Roman" w:eastAsia="宋体"/>
      <w:color w:val="595959"/>
      <w:spacing w:val="15"/>
      <w:kern w:val="2"/>
      <w:sz w:val="28"/>
      <w:szCs w:val="28"/>
      <w14:ligatures xmlns:w14="http://schemas.microsoft.com/office/word/2010/wordml" w14:val="standardContextual"/>
    </w:rPr>
  </w:style>
  <w:style w:type="paragraph" w:styleId="style180">
    <w:name w:val="Quote"/>
    <w:basedOn w:val="style0"/>
    <w:next w:val="style0"/>
    <w:link w:val="style4110"/>
    <w:qFormat/>
    <w:uiPriority w:val="29"/>
    <w:pPr>
      <w:bidi/>
      <w:spacing w:before="160" w:lineRule="auto" w:line="240"/>
      <w:jc w:val="center"/>
    </w:pPr>
    <w:rPr>
      <w:i/>
      <w:iCs/>
      <w:color w:val="404040"/>
      <w:kern w:val="2"/>
      <w14:ligatures xmlns:w14="http://schemas.microsoft.com/office/word/2010/wordml" w14:val="standardContextual"/>
    </w:rPr>
  </w:style>
  <w:style w:type="character" w:customStyle="1" w:styleId="style4110">
    <w:name w:val="Quote Char_b721d95c-14a8-46b7-a3ed-6f808472f6bc"/>
    <w:basedOn w:val="style65"/>
    <w:next w:val="style4110"/>
    <w:link w:val="style180"/>
    <w:uiPriority w:val="29"/>
    <w:rPr>
      <w:i/>
      <w:iCs/>
      <w:color w:val="404040"/>
      <w:kern w:val="2"/>
      <w14:ligatures xmlns:w14="http://schemas.microsoft.com/office/word/2010/wordml" w14:val="standardContextual"/>
    </w:rPr>
  </w:style>
  <w:style w:type="character" w:customStyle="1" w:styleId="style4111">
    <w:name w:val="Intense Emphasis1"/>
    <w:basedOn w:val="style65"/>
    <w:next w:val="style4111"/>
    <w:qFormat/>
    <w:uiPriority w:val="21"/>
    <w:rPr>
      <w:i/>
      <w:iCs/>
      <w:color w:val="2e74b5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pBdr>
        <w:top w:val="single" w:sz="4" w:space="10" w:color="2e74b5"/>
        <w:bottom w:val="single" w:sz="4" w:space="10" w:color="2e74b5"/>
      </w:pBdr>
      <w:bidi/>
      <w:spacing w:before="360" w:after="360" w:lineRule="auto" w:line="240"/>
      <w:ind w:left="864" w:right="864"/>
      <w:jc w:val="center"/>
    </w:pPr>
    <w:rPr>
      <w:i/>
      <w:iCs/>
      <w:color w:val="2e74b5"/>
      <w:kern w:val="2"/>
      <w14:ligatures xmlns:w14="http://schemas.microsoft.com/office/word/2010/wordml" w14:val="standardContextual"/>
    </w:rPr>
  </w:style>
  <w:style w:type="character" w:customStyle="1" w:styleId="style4112">
    <w:name w:val="Intense Quote Char_86e47bf5-1ee5-4f9d-a5f2-f8c6e76e062e"/>
    <w:basedOn w:val="style65"/>
    <w:next w:val="style4112"/>
    <w:link w:val="style181"/>
    <w:uiPriority w:val="30"/>
    <w:rPr>
      <w:i/>
      <w:iCs/>
      <w:color w:val="2e74b5"/>
      <w:kern w:val="2"/>
      <w14:ligatures xmlns:w14="http://schemas.microsoft.com/office/word/2010/wordml" w14:val="standardContextual"/>
    </w:rPr>
  </w:style>
  <w:style w:type="character" w:customStyle="1" w:styleId="style4113">
    <w:name w:val="Intense Reference1"/>
    <w:basedOn w:val="style65"/>
    <w:next w:val="style4113"/>
    <w:qFormat/>
    <w:uiPriority w:val="32"/>
    <w:rPr>
      <w:b/>
      <w:bCs/>
      <w:smallCaps/>
      <w:color w:val="2e74b5"/>
      <w:spacing w:val="5"/>
    </w:rPr>
  </w:style>
  <w:style w:type="paragraph" w:customStyle="1" w:styleId="style4114">
    <w:name w:val="msonormal"/>
    <w:basedOn w:val="style0"/>
    <w:next w:val="style411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15">
    <w:name w:val="Balloon Text Char"/>
    <w:basedOn w:val="style65"/>
    <w:next w:val="style4115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Words>1134</Words>
  <Pages>1</Pages>
  <Characters>5292</Characters>
  <Application>WPS Office</Application>
  <DocSecurity>0</DocSecurity>
  <Paragraphs>208</Paragraphs>
  <ScaleCrop>false</ScaleCrop>
  <LinksUpToDate>false</LinksUpToDate>
  <CharactersWithSpaces>6767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٢٠٢٦-٠٢-١١T٠٨:٥٥:٠٠Z</dcterms:created>
  <dc:creator>Teacher</dc:creator>
  <lastModifiedBy>SM-S928B</lastModifiedBy>
  <lastPrinted>٢٠٢٦-٠٢-٠٨T٠٤:١٩:٠٠Z</lastPrinted>
  <dcterms:modified xsi:type="dcterms:W3CDTF">٢٠٢٦-٠٣-٢٧T١٦:١٥:١٧Z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816783236c6f42798ff7d49f43b686eb</vt:lpwstr>
  </property>
</Properties>
</file>